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292" w:rsidRDefault="00E06292" w:rsidP="00A927C2">
      <w:pPr>
        <w:widowControl w:val="0"/>
        <w:autoSpaceDE w:val="0"/>
        <w:autoSpaceDN w:val="0"/>
        <w:adjustRightInd w:val="0"/>
        <w:spacing w:after="240" w:line="276" w:lineRule="auto"/>
        <w:rPr>
          <w:rFonts w:cstheme="minorHAnsi"/>
          <w:bCs/>
          <w:lang w:val="en-GB"/>
        </w:rPr>
      </w:pPr>
    </w:p>
    <w:p w:rsidR="00A927C2" w:rsidRPr="00A927C2" w:rsidRDefault="00A927C2" w:rsidP="00A927C2">
      <w:pPr>
        <w:widowControl w:val="0"/>
        <w:autoSpaceDE w:val="0"/>
        <w:autoSpaceDN w:val="0"/>
        <w:adjustRightInd w:val="0"/>
        <w:spacing w:after="240" w:line="276" w:lineRule="auto"/>
        <w:rPr>
          <w:rFonts w:cstheme="minorHAnsi"/>
          <w:bCs/>
          <w:lang w:val="en-GB"/>
        </w:rPr>
      </w:pPr>
      <w:r w:rsidRPr="00A927C2">
        <w:rPr>
          <w:rFonts w:cstheme="minorHAnsi"/>
          <w:bCs/>
          <w:lang w:val="en-GB"/>
        </w:rPr>
        <w:t>The information below shows a range of processes and outcomes from mentoring and these resonate with professional learning and development in CLD. This material might help you when considering what you want to get out of your professional learning and development and who would be best placed to support you in this from a mentoring perspective.</w:t>
      </w:r>
    </w:p>
    <w:p w:rsidR="00A927C2" w:rsidRPr="00A927C2" w:rsidRDefault="00A927C2" w:rsidP="00A927C2">
      <w:pPr>
        <w:widowControl w:val="0"/>
        <w:autoSpaceDE w:val="0"/>
        <w:autoSpaceDN w:val="0"/>
        <w:adjustRightInd w:val="0"/>
        <w:spacing w:after="240" w:line="276" w:lineRule="auto"/>
        <w:rPr>
          <w:rFonts w:cstheme="minorHAnsi"/>
          <w:bCs/>
          <w:lang w:val="en-GB"/>
        </w:rPr>
      </w:pPr>
      <w:r w:rsidRPr="00A927C2">
        <w:rPr>
          <w:rFonts w:cstheme="minorHAnsi"/>
          <w:bCs/>
          <w:lang w:val="en-GB"/>
        </w:rPr>
        <w:t xml:space="preserve">You might already have a mentor or mentoring system that you use with respect to your professional development at the moment and you might wish to consider how the CLD Standards Council’s Registration and Professional Learning requirements could be accommodated? </w:t>
      </w:r>
    </w:p>
    <w:p w:rsidR="00A927C2" w:rsidRPr="00A927C2" w:rsidRDefault="00A927C2" w:rsidP="00A927C2">
      <w:pPr>
        <w:widowControl w:val="0"/>
        <w:autoSpaceDE w:val="0"/>
        <w:autoSpaceDN w:val="0"/>
        <w:adjustRightInd w:val="0"/>
        <w:spacing w:after="240" w:line="276" w:lineRule="auto"/>
        <w:rPr>
          <w:rFonts w:cstheme="minorHAnsi"/>
          <w:bCs/>
          <w:lang w:val="en-GB"/>
        </w:rPr>
      </w:pPr>
      <w:r w:rsidRPr="00A927C2">
        <w:rPr>
          <w:rFonts w:cstheme="minorHAnsi"/>
          <w:bCs/>
          <w:lang w:val="en-GB"/>
        </w:rPr>
        <w:t>It also might be the case that it is not one person that is your mentor, that you a number of people that support you in this and in this case you would need to consider would be best placed in this respect to act as the verifier  when it come to you</w:t>
      </w:r>
      <w:r w:rsidR="001D142B">
        <w:rPr>
          <w:rFonts w:cstheme="minorHAnsi"/>
          <w:bCs/>
          <w:lang w:val="en-GB"/>
        </w:rPr>
        <w:t>r</w:t>
      </w:r>
      <w:bookmarkStart w:id="0" w:name="_GoBack"/>
      <w:bookmarkEnd w:id="0"/>
      <w:r w:rsidRPr="00A927C2">
        <w:rPr>
          <w:rFonts w:cstheme="minorHAnsi"/>
          <w:bCs/>
          <w:lang w:val="en-GB"/>
        </w:rPr>
        <w:t xml:space="preserve"> 3 yearly registration review of professional learning and development and that they have the relevant professional understanding required.</w:t>
      </w:r>
    </w:p>
    <w:p w:rsidR="00A927C2" w:rsidRPr="008E1DA7" w:rsidRDefault="00A927C2" w:rsidP="008E1DA7">
      <w:pPr>
        <w:widowControl w:val="0"/>
        <w:autoSpaceDE w:val="0"/>
        <w:autoSpaceDN w:val="0"/>
        <w:adjustRightInd w:val="0"/>
        <w:spacing w:after="240" w:line="276" w:lineRule="auto"/>
        <w:rPr>
          <w:rFonts w:cstheme="minorHAnsi"/>
          <w:bCs/>
          <w:lang w:val="en-GB"/>
        </w:rPr>
      </w:pPr>
      <w:r w:rsidRPr="00A927C2">
        <w:rPr>
          <w:rFonts w:cstheme="minorHAnsi"/>
          <w:bCs/>
          <w:lang w:val="en-GB"/>
        </w:rPr>
        <w:t>It is useful to have an agreement between yourself and your mentor/s so that there is clarity of roles, re</w:t>
      </w:r>
      <w:r w:rsidR="008E1DA7">
        <w:rPr>
          <w:rFonts w:cstheme="minorHAnsi"/>
          <w:bCs/>
          <w:lang w:val="en-GB"/>
        </w:rPr>
        <w:t>sponsibilities and expectations.  A</w:t>
      </w:r>
      <w:r w:rsidRPr="00A927C2">
        <w:rPr>
          <w:rFonts w:cstheme="minorHAnsi"/>
          <w:bCs/>
          <w:lang w:val="en-GB"/>
        </w:rPr>
        <w:t xml:space="preserve"> sample Mentoring Agreement </w:t>
      </w:r>
      <w:r w:rsidR="008E1DA7">
        <w:rPr>
          <w:rFonts w:cstheme="minorHAnsi"/>
          <w:bCs/>
          <w:lang w:val="en-GB"/>
        </w:rPr>
        <w:t xml:space="preserve">document is provided with this advice which can be used and </w:t>
      </w:r>
      <w:r w:rsidRPr="00A927C2">
        <w:rPr>
          <w:rFonts w:cstheme="minorHAnsi"/>
          <w:bCs/>
          <w:lang w:val="en-GB"/>
        </w:rPr>
        <w:t>adapted if required.</w:t>
      </w:r>
    </w:p>
    <w:p w:rsidR="00A927C2" w:rsidRPr="0092555E" w:rsidRDefault="00A927C2" w:rsidP="00A927C2">
      <w:pPr>
        <w:widowControl w:val="0"/>
        <w:autoSpaceDE w:val="0"/>
        <w:autoSpaceDN w:val="0"/>
        <w:adjustRightInd w:val="0"/>
        <w:spacing w:after="200"/>
        <w:ind w:left="567"/>
        <w:rPr>
          <w:rFonts w:ascii="Times" w:hAnsi="Times" w:cs="Times"/>
          <w:i/>
          <w:color w:val="308BA6"/>
          <w:sz w:val="32"/>
          <w:szCs w:val="32"/>
        </w:rPr>
      </w:pPr>
      <w:r>
        <w:rPr>
          <w:rFonts w:ascii="Helvetica" w:hAnsi="Helvetica" w:cs="Helvetica"/>
          <w:noProof/>
          <w:lang w:val="en-GB" w:eastAsia="en-GB"/>
        </w:rPr>
        <w:drawing>
          <wp:inline distT="0" distB="0" distL="0" distR="0" wp14:anchorId="3051015A" wp14:editId="2EADB4E2">
            <wp:extent cx="4800600" cy="3676357"/>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781" cy="3676495"/>
                    </a:xfrm>
                    <a:prstGeom prst="rect">
                      <a:avLst/>
                    </a:prstGeom>
                    <a:noFill/>
                    <a:ln>
                      <a:noFill/>
                    </a:ln>
                  </pic:spPr>
                </pic:pic>
              </a:graphicData>
            </a:graphic>
          </wp:inline>
        </w:drawing>
      </w:r>
    </w:p>
    <w:p w:rsidR="00A927C2" w:rsidRDefault="00A927C2" w:rsidP="00A927C2">
      <w:pPr>
        <w:widowControl w:val="0"/>
        <w:autoSpaceDE w:val="0"/>
        <w:autoSpaceDN w:val="0"/>
        <w:adjustRightInd w:val="0"/>
        <w:spacing w:after="200"/>
        <w:rPr>
          <w:rFonts w:asciiTheme="majorHAnsi" w:hAnsiTheme="majorHAnsi" w:cs="Times"/>
        </w:rPr>
      </w:pPr>
    </w:p>
    <w:p w:rsidR="00A927C2" w:rsidRPr="00C11BDF" w:rsidRDefault="00A927C2" w:rsidP="00A927C2">
      <w:pPr>
        <w:widowControl w:val="0"/>
        <w:autoSpaceDE w:val="0"/>
        <w:autoSpaceDN w:val="0"/>
        <w:adjustRightInd w:val="0"/>
        <w:spacing w:after="200"/>
        <w:rPr>
          <w:rFonts w:asciiTheme="majorHAnsi" w:hAnsiTheme="majorHAnsi" w:cs="Times"/>
        </w:rPr>
      </w:pPr>
      <w:r w:rsidRPr="00A927C2">
        <w:rPr>
          <w:rFonts w:asciiTheme="majorHAnsi" w:hAnsiTheme="majorHAnsi" w:cs="Times"/>
          <w:b/>
          <w:sz w:val="28"/>
          <w:szCs w:val="28"/>
        </w:rPr>
        <w:lastRenderedPageBreak/>
        <w:t>Coaching and mentoring defined</w:t>
      </w:r>
      <w:r w:rsidRPr="00C11BDF">
        <w:rPr>
          <w:rFonts w:asciiTheme="majorHAnsi" w:hAnsiTheme="majorHAnsi" w:cs="Times"/>
        </w:rPr>
        <w:t xml:space="preserve"> (source </w:t>
      </w:r>
      <w:proofErr w:type="spellStart"/>
      <w:r w:rsidRPr="00C11BDF">
        <w:rPr>
          <w:rFonts w:asciiTheme="majorHAnsi" w:hAnsiTheme="majorHAnsi" w:cs="Times"/>
        </w:rPr>
        <w:t>GTCS</w:t>
      </w:r>
      <w:proofErr w:type="spellEnd"/>
      <w:r w:rsidRPr="00C11BDF">
        <w:rPr>
          <w:rFonts w:asciiTheme="majorHAnsi" w:hAnsiTheme="majorHAnsi" w:cs="Times"/>
        </w:rPr>
        <w:t>)</w:t>
      </w:r>
    </w:p>
    <w:p w:rsidR="00A927C2" w:rsidRPr="00AE4A1A" w:rsidRDefault="00A927C2" w:rsidP="00A927C2">
      <w:pPr>
        <w:widowControl w:val="0"/>
        <w:autoSpaceDE w:val="0"/>
        <w:autoSpaceDN w:val="0"/>
        <w:adjustRightInd w:val="0"/>
        <w:spacing w:after="200"/>
        <w:ind w:left="567"/>
        <w:rPr>
          <w:rFonts w:asciiTheme="majorHAnsi" w:hAnsiTheme="majorHAnsi"/>
        </w:rPr>
      </w:pPr>
      <w:r w:rsidRPr="00AE4A1A">
        <w:rPr>
          <w:rFonts w:asciiTheme="majorHAnsi" w:hAnsiTheme="majorHAnsi" w:cs="Helvetica"/>
          <w:noProof/>
          <w:lang w:val="en-GB" w:eastAsia="en-GB"/>
        </w:rPr>
        <w:drawing>
          <wp:inline distT="0" distB="0" distL="0" distR="0" wp14:anchorId="59011E1D" wp14:editId="1AED1A7A">
            <wp:extent cx="4114800" cy="373257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3732570"/>
                    </a:xfrm>
                    <a:prstGeom prst="rect">
                      <a:avLst/>
                    </a:prstGeom>
                    <a:noFill/>
                    <a:ln>
                      <a:noFill/>
                    </a:ln>
                  </pic:spPr>
                </pic:pic>
              </a:graphicData>
            </a:graphic>
          </wp:inline>
        </w:drawing>
      </w:r>
    </w:p>
    <w:p w:rsidR="00A927C2" w:rsidRDefault="00A927C2" w:rsidP="00A927C2">
      <w:pPr>
        <w:widowControl w:val="0"/>
        <w:autoSpaceDE w:val="0"/>
        <w:autoSpaceDN w:val="0"/>
        <w:adjustRightInd w:val="0"/>
        <w:spacing w:line="276" w:lineRule="auto"/>
        <w:rPr>
          <w:rFonts w:cstheme="minorHAnsi"/>
          <w:color w:val="201D1A"/>
        </w:rPr>
      </w:pPr>
    </w:p>
    <w:p w:rsidR="00A927C2" w:rsidRDefault="00A927C2" w:rsidP="00A927C2">
      <w:pPr>
        <w:widowControl w:val="0"/>
        <w:autoSpaceDE w:val="0"/>
        <w:autoSpaceDN w:val="0"/>
        <w:adjustRightInd w:val="0"/>
        <w:spacing w:line="276" w:lineRule="auto"/>
        <w:rPr>
          <w:rFonts w:cstheme="minorHAnsi"/>
          <w:color w:val="201D1A"/>
        </w:rPr>
      </w:pPr>
      <w:r w:rsidRPr="00A927C2">
        <w:rPr>
          <w:rFonts w:cstheme="minorHAnsi"/>
          <w:color w:val="201D1A"/>
        </w:rPr>
        <w:t>The terms coaching and mentoring describe a continuous two-way process through which the person in the role of coach, or mentor, uses questions, discussion and guided activity to help the person being coached, or mentored, to solve problems, address issues or do tasks to a higher standard than would otherwise be the case. The aim of the process is to improve performance in "getting the job done" and make a direct contribution to the person's learning and development.</w:t>
      </w:r>
    </w:p>
    <w:p w:rsidR="00A927C2" w:rsidRPr="00A927C2" w:rsidRDefault="00A927C2" w:rsidP="00A927C2">
      <w:pPr>
        <w:widowControl w:val="0"/>
        <w:autoSpaceDE w:val="0"/>
        <w:autoSpaceDN w:val="0"/>
        <w:adjustRightInd w:val="0"/>
        <w:spacing w:line="276" w:lineRule="auto"/>
        <w:rPr>
          <w:rFonts w:cstheme="minorHAnsi"/>
          <w:color w:val="201D1A"/>
        </w:rPr>
      </w:pPr>
    </w:p>
    <w:p w:rsidR="00A927C2" w:rsidRPr="00A927C2" w:rsidRDefault="00A927C2" w:rsidP="00A927C2">
      <w:pPr>
        <w:widowControl w:val="0"/>
        <w:autoSpaceDE w:val="0"/>
        <w:autoSpaceDN w:val="0"/>
        <w:adjustRightInd w:val="0"/>
        <w:spacing w:line="276" w:lineRule="auto"/>
        <w:rPr>
          <w:rFonts w:cstheme="minorHAnsi"/>
          <w:color w:val="201D1A"/>
        </w:rPr>
      </w:pPr>
      <w:r w:rsidRPr="00A927C2">
        <w:rPr>
          <w:rFonts w:cstheme="minorHAnsi"/>
          <w:color w:val="201D1A"/>
        </w:rPr>
        <w:t>Coaching and mentoring are different activities but the key principles are similar. Common elements, in an educational context, include:</w:t>
      </w:r>
    </w:p>
    <w:p w:rsidR="00A927C2" w:rsidRPr="00A927C2" w:rsidRDefault="00A927C2" w:rsidP="00A927C2">
      <w:pPr>
        <w:widowControl w:val="0"/>
        <w:numPr>
          <w:ilvl w:val="0"/>
          <w:numId w:val="7"/>
        </w:numPr>
        <w:tabs>
          <w:tab w:val="left" w:pos="993"/>
        </w:tabs>
        <w:autoSpaceDE w:val="0"/>
        <w:autoSpaceDN w:val="0"/>
        <w:adjustRightInd w:val="0"/>
        <w:spacing w:line="276" w:lineRule="auto"/>
        <w:ind w:left="993" w:hanging="426"/>
        <w:rPr>
          <w:rFonts w:cstheme="minorHAnsi"/>
          <w:color w:val="201D1A"/>
        </w:rPr>
      </w:pPr>
      <w:r w:rsidRPr="00A927C2">
        <w:rPr>
          <w:rFonts w:cstheme="minorHAnsi"/>
          <w:color w:val="201D1A"/>
        </w:rPr>
        <w:t>a learning conversation;</w:t>
      </w:r>
    </w:p>
    <w:p w:rsidR="00A927C2" w:rsidRPr="00A927C2" w:rsidRDefault="00A927C2" w:rsidP="00A927C2">
      <w:pPr>
        <w:widowControl w:val="0"/>
        <w:numPr>
          <w:ilvl w:val="0"/>
          <w:numId w:val="7"/>
        </w:numPr>
        <w:tabs>
          <w:tab w:val="left" w:pos="993"/>
        </w:tabs>
        <w:autoSpaceDE w:val="0"/>
        <w:autoSpaceDN w:val="0"/>
        <w:adjustRightInd w:val="0"/>
        <w:spacing w:line="276" w:lineRule="auto"/>
        <w:ind w:left="993" w:hanging="426"/>
        <w:rPr>
          <w:rFonts w:cstheme="minorHAnsi"/>
          <w:color w:val="201D1A"/>
        </w:rPr>
      </w:pPr>
      <w:r w:rsidRPr="00A927C2">
        <w:rPr>
          <w:rFonts w:cstheme="minorHAnsi"/>
          <w:color w:val="201D1A"/>
        </w:rPr>
        <w:t>reflection and sharing;</w:t>
      </w:r>
    </w:p>
    <w:p w:rsidR="00A927C2" w:rsidRPr="00A927C2" w:rsidRDefault="00A927C2" w:rsidP="00A927C2">
      <w:pPr>
        <w:widowControl w:val="0"/>
        <w:numPr>
          <w:ilvl w:val="0"/>
          <w:numId w:val="7"/>
        </w:numPr>
        <w:tabs>
          <w:tab w:val="left" w:pos="993"/>
        </w:tabs>
        <w:autoSpaceDE w:val="0"/>
        <w:autoSpaceDN w:val="0"/>
        <w:adjustRightInd w:val="0"/>
        <w:spacing w:line="276" w:lineRule="auto"/>
        <w:ind w:left="993" w:hanging="426"/>
        <w:rPr>
          <w:rFonts w:cstheme="minorHAnsi"/>
          <w:color w:val="201D1A"/>
        </w:rPr>
      </w:pPr>
      <w:r w:rsidRPr="00A927C2">
        <w:rPr>
          <w:rFonts w:cstheme="minorHAnsi"/>
          <w:color w:val="201D1A"/>
        </w:rPr>
        <w:t>agreed outcomes;</w:t>
      </w:r>
    </w:p>
    <w:p w:rsidR="00A927C2" w:rsidRPr="00A927C2" w:rsidRDefault="00A927C2" w:rsidP="00A927C2">
      <w:pPr>
        <w:widowControl w:val="0"/>
        <w:numPr>
          <w:ilvl w:val="0"/>
          <w:numId w:val="7"/>
        </w:numPr>
        <w:tabs>
          <w:tab w:val="left" w:pos="993"/>
        </w:tabs>
        <w:autoSpaceDE w:val="0"/>
        <w:autoSpaceDN w:val="0"/>
        <w:adjustRightInd w:val="0"/>
        <w:spacing w:line="276" w:lineRule="auto"/>
        <w:ind w:left="993" w:hanging="426"/>
        <w:rPr>
          <w:rFonts w:cstheme="minorHAnsi"/>
          <w:color w:val="201D1A"/>
        </w:rPr>
      </w:pPr>
      <w:r w:rsidRPr="00A927C2">
        <w:rPr>
          <w:rFonts w:cstheme="minorHAnsi"/>
          <w:color w:val="201D1A"/>
        </w:rPr>
        <w:t>focus on learning and teaching;</w:t>
      </w:r>
    </w:p>
    <w:p w:rsidR="00A927C2" w:rsidRPr="00A927C2" w:rsidRDefault="00A927C2" w:rsidP="00A927C2">
      <w:pPr>
        <w:widowControl w:val="0"/>
        <w:numPr>
          <w:ilvl w:val="0"/>
          <w:numId w:val="7"/>
        </w:numPr>
        <w:tabs>
          <w:tab w:val="left" w:pos="993"/>
        </w:tabs>
        <w:autoSpaceDE w:val="0"/>
        <w:autoSpaceDN w:val="0"/>
        <w:adjustRightInd w:val="0"/>
        <w:spacing w:line="276" w:lineRule="auto"/>
        <w:ind w:left="993" w:hanging="426"/>
        <w:rPr>
          <w:rFonts w:cstheme="minorHAnsi"/>
          <w:color w:val="201D1A"/>
        </w:rPr>
      </w:pPr>
      <w:r w:rsidRPr="00A927C2">
        <w:rPr>
          <w:rFonts w:cstheme="minorHAnsi"/>
          <w:color w:val="201D1A"/>
        </w:rPr>
        <w:t>mutual benefit;</w:t>
      </w:r>
    </w:p>
    <w:p w:rsidR="00A927C2" w:rsidRPr="00A927C2" w:rsidRDefault="00A927C2" w:rsidP="00A927C2">
      <w:pPr>
        <w:widowControl w:val="0"/>
        <w:numPr>
          <w:ilvl w:val="0"/>
          <w:numId w:val="7"/>
        </w:numPr>
        <w:tabs>
          <w:tab w:val="left" w:pos="993"/>
        </w:tabs>
        <w:autoSpaceDE w:val="0"/>
        <w:autoSpaceDN w:val="0"/>
        <w:adjustRightInd w:val="0"/>
        <w:spacing w:line="276" w:lineRule="auto"/>
        <w:ind w:left="993" w:hanging="426"/>
        <w:rPr>
          <w:rFonts w:cstheme="minorHAnsi"/>
          <w:color w:val="201D1A"/>
        </w:rPr>
      </w:pPr>
      <w:r w:rsidRPr="00A927C2">
        <w:rPr>
          <w:rFonts w:cstheme="minorHAnsi"/>
          <w:color w:val="201D1A"/>
        </w:rPr>
        <w:t>confidentiality.</w:t>
      </w:r>
    </w:p>
    <w:p w:rsidR="00A927C2" w:rsidRPr="00A927C2" w:rsidRDefault="00A927C2" w:rsidP="00A927C2">
      <w:pPr>
        <w:widowControl w:val="0"/>
        <w:tabs>
          <w:tab w:val="left" w:pos="220"/>
          <w:tab w:val="left" w:pos="720"/>
        </w:tabs>
        <w:autoSpaceDE w:val="0"/>
        <w:autoSpaceDN w:val="0"/>
        <w:adjustRightInd w:val="0"/>
        <w:spacing w:line="276" w:lineRule="auto"/>
        <w:ind w:left="720"/>
        <w:rPr>
          <w:rFonts w:cstheme="minorHAnsi"/>
          <w:color w:val="201D1A"/>
        </w:rPr>
      </w:pPr>
    </w:p>
    <w:p w:rsidR="00A927C2" w:rsidRPr="00AE4A1A" w:rsidRDefault="00A927C2" w:rsidP="00A927C2">
      <w:pPr>
        <w:spacing w:line="276" w:lineRule="auto"/>
        <w:rPr>
          <w:rFonts w:asciiTheme="majorHAnsi" w:hAnsiTheme="majorHAnsi"/>
        </w:rPr>
      </w:pPr>
      <w:r w:rsidRPr="00A927C2">
        <w:rPr>
          <w:rFonts w:cstheme="minorHAnsi"/>
          <w:color w:val="201D1A"/>
        </w:rPr>
        <w:t>A mentor should have relevant and similar experience to the person being mentored, can act as a model and may offer advice. A coach need not share the knowledge base of the person being coached and will use questions to challenge thinking and promote reflection</w:t>
      </w:r>
      <w:r w:rsidRPr="00AE4A1A">
        <w:rPr>
          <w:rFonts w:asciiTheme="majorHAnsi" w:hAnsiTheme="majorHAnsi" w:cs="Times"/>
          <w:color w:val="201D1A"/>
        </w:rPr>
        <w:t>.</w:t>
      </w:r>
    </w:p>
    <w:p w:rsidR="00A927C2" w:rsidRDefault="00A927C2" w:rsidP="00A927C2">
      <w:pPr>
        <w:widowControl w:val="0"/>
        <w:autoSpaceDE w:val="0"/>
        <w:autoSpaceDN w:val="0"/>
        <w:adjustRightInd w:val="0"/>
        <w:spacing w:after="200"/>
        <w:rPr>
          <w:rFonts w:asciiTheme="majorHAnsi" w:hAnsiTheme="majorHAnsi"/>
        </w:rPr>
      </w:pPr>
      <w:r w:rsidRPr="00AE4A1A">
        <w:rPr>
          <w:rFonts w:asciiTheme="majorHAnsi" w:hAnsiTheme="majorHAnsi"/>
        </w:rPr>
        <w:tab/>
      </w:r>
      <w:r w:rsidRPr="00AE4A1A">
        <w:rPr>
          <w:rFonts w:asciiTheme="majorHAnsi" w:hAnsiTheme="majorHAnsi"/>
        </w:rPr>
        <w:tab/>
      </w:r>
      <w:r w:rsidRPr="00AE4A1A">
        <w:rPr>
          <w:rFonts w:asciiTheme="majorHAnsi" w:hAnsiTheme="majorHAnsi"/>
        </w:rPr>
        <w:tab/>
      </w:r>
      <w:r w:rsidRPr="00AE4A1A">
        <w:rPr>
          <w:rFonts w:asciiTheme="majorHAnsi" w:hAnsiTheme="majorHAnsi"/>
        </w:rPr>
        <w:tab/>
      </w:r>
      <w:r w:rsidRPr="00AE4A1A">
        <w:rPr>
          <w:rFonts w:asciiTheme="majorHAnsi" w:hAnsiTheme="majorHAnsi"/>
        </w:rPr>
        <w:tab/>
      </w:r>
      <w:r w:rsidRPr="00AE4A1A">
        <w:rPr>
          <w:rFonts w:asciiTheme="majorHAnsi" w:hAnsiTheme="majorHAnsi"/>
        </w:rPr>
        <w:tab/>
      </w:r>
      <w:r w:rsidRPr="00AE4A1A">
        <w:rPr>
          <w:rFonts w:asciiTheme="majorHAnsi" w:hAnsiTheme="majorHAnsi"/>
        </w:rPr>
        <w:tab/>
      </w:r>
      <w:r w:rsidRPr="00AE4A1A">
        <w:rPr>
          <w:rFonts w:asciiTheme="majorHAnsi" w:hAnsiTheme="majorHAnsi"/>
        </w:rPr>
        <w:tab/>
      </w:r>
      <w:r w:rsidRPr="00AE4A1A">
        <w:rPr>
          <w:rFonts w:asciiTheme="majorHAnsi" w:hAnsiTheme="majorHAnsi"/>
        </w:rPr>
        <w:tab/>
      </w:r>
    </w:p>
    <w:p w:rsidR="00A927C2" w:rsidRPr="00A927C2" w:rsidRDefault="00A927C2" w:rsidP="00A927C2">
      <w:pPr>
        <w:widowControl w:val="0"/>
        <w:autoSpaceDE w:val="0"/>
        <w:autoSpaceDN w:val="0"/>
        <w:adjustRightInd w:val="0"/>
        <w:spacing w:after="200"/>
        <w:rPr>
          <w:rFonts w:asciiTheme="majorHAnsi" w:hAnsiTheme="majorHAnsi"/>
          <w:b/>
          <w:sz w:val="28"/>
          <w:szCs w:val="28"/>
        </w:rPr>
      </w:pPr>
      <w:r w:rsidRPr="00A927C2">
        <w:rPr>
          <w:rFonts w:asciiTheme="majorHAnsi" w:hAnsiTheme="majorHAnsi" w:cs="Times"/>
          <w:b/>
          <w:sz w:val="28"/>
          <w:szCs w:val="28"/>
        </w:rPr>
        <w:t>Benefit of coaching / mentoring</w:t>
      </w:r>
    </w:p>
    <w:p w:rsidR="00A927C2" w:rsidRPr="00C65905" w:rsidRDefault="00A927C2" w:rsidP="00C65905">
      <w:pPr>
        <w:widowControl w:val="0"/>
        <w:autoSpaceDE w:val="0"/>
        <w:autoSpaceDN w:val="0"/>
        <w:adjustRightInd w:val="0"/>
        <w:spacing w:after="120" w:line="276" w:lineRule="auto"/>
        <w:rPr>
          <w:rFonts w:cstheme="minorHAnsi"/>
          <w:color w:val="201D1A"/>
        </w:rPr>
      </w:pPr>
      <w:r w:rsidRPr="00C65905">
        <w:rPr>
          <w:rFonts w:cstheme="minorHAnsi"/>
          <w:color w:val="201D1A"/>
        </w:rPr>
        <w:t>Hook et al. (2006) describe the benefits as:</w:t>
      </w:r>
    </w:p>
    <w:p w:rsidR="00A927C2" w:rsidRPr="00C65905" w:rsidRDefault="00A927C2" w:rsidP="00C65905">
      <w:pPr>
        <w:widowControl w:val="0"/>
        <w:numPr>
          <w:ilvl w:val="0"/>
          <w:numId w:val="7"/>
        </w:numPr>
        <w:autoSpaceDE w:val="0"/>
        <w:autoSpaceDN w:val="0"/>
        <w:adjustRightInd w:val="0"/>
        <w:spacing w:line="276" w:lineRule="auto"/>
        <w:ind w:left="993" w:hanging="437"/>
        <w:rPr>
          <w:rFonts w:cstheme="minorHAnsi"/>
          <w:color w:val="201D1A"/>
        </w:rPr>
      </w:pPr>
      <w:r w:rsidRPr="00C65905">
        <w:rPr>
          <w:rFonts w:cstheme="minorHAnsi"/>
          <w:color w:val="201D1A"/>
        </w:rPr>
        <w:t>thinking more clearly about things;</w:t>
      </w:r>
    </w:p>
    <w:p w:rsidR="00A927C2" w:rsidRPr="00C65905" w:rsidRDefault="00A927C2" w:rsidP="00C65905">
      <w:pPr>
        <w:widowControl w:val="0"/>
        <w:numPr>
          <w:ilvl w:val="0"/>
          <w:numId w:val="7"/>
        </w:numPr>
        <w:autoSpaceDE w:val="0"/>
        <w:autoSpaceDN w:val="0"/>
        <w:adjustRightInd w:val="0"/>
        <w:spacing w:line="276" w:lineRule="auto"/>
        <w:ind w:left="993" w:hanging="437"/>
        <w:rPr>
          <w:rFonts w:cstheme="minorHAnsi"/>
          <w:color w:val="201D1A"/>
        </w:rPr>
      </w:pPr>
      <w:r w:rsidRPr="00C65905">
        <w:rPr>
          <w:rFonts w:cstheme="minorHAnsi"/>
          <w:color w:val="201D1A"/>
        </w:rPr>
        <w:t>feeling valued and listened to;</w:t>
      </w:r>
    </w:p>
    <w:p w:rsidR="00A927C2" w:rsidRPr="00C65905" w:rsidRDefault="00A927C2" w:rsidP="00C65905">
      <w:pPr>
        <w:widowControl w:val="0"/>
        <w:numPr>
          <w:ilvl w:val="0"/>
          <w:numId w:val="7"/>
        </w:numPr>
        <w:autoSpaceDE w:val="0"/>
        <w:autoSpaceDN w:val="0"/>
        <w:adjustRightInd w:val="0"/>
        <w:spacing w:line="276" w:lineRule="auto"/>
        <w:ind w:left="993" w:hanging="437"/>
        <w:rPr>
          <w:rFonts w:cstheme="minorHAnsi"/>
          <w:color w:val="201D1A"/>
        </w:rPr>
      </w:pPr>
      <w:proofErr w:type="spellStart"/>
      <w:r w:rsidRPr="00C65905">
        <w:rPr>
          <w:rFonts w:cstheme="minorHAnsi"/>
          <w:color w:val="201D1A"/>
        </w:rPr>
        <w:t>recognising</w:t>
      </w:r>
      <w:proofErr w:type="spellEnd"/>
      <w:r w:rsidRPr="00C65905">
        <w:rPr>
          <w:rFonts w:cstheme="minorHAnsi"/>
          <w:color w:val="201D1A"/>
        </w:rPr>
        <w:t xml:space="preserve"> and appreciating their skills and resources;</w:t>
      </w:r>
    </w:p>
    <w:p w:rsidR="00A927C2" w:rsidRPr="00C65905" w:rsidRDefault="00A927C2" w:rsidP="00C65905">
      <w:pPr>
        <w:widowControl w:val="0"/>
        <w:numPr>
          <w:ilvl w:val="0"/>
          <w:numId w:val="7"/>
        </w:numPr>
        <w:autoSpaceDE w:val="0"/>
        <w:autoSpaceDN w:val="0"/>
        <w:adjustRightInd w:val="0"/>
        <w:spacing w:line="276" w:lineRule="auto"/>
        <w:ind w:left="993" w:hanging="437"/>
        <w:rPr>
          <w:rFonts w:cstheme="minorHAnsi"/>
          <w:color w:val="201D1A"/>
        </w:rPr>
      </w:pPr>
      <w:r w:rsidRPr="00C65905">
        <w:rPr>
          <w:rFonts w:cstheme="minorHAnsi"/>
          <w:color w:val="201D1A"/>
        </w:rPr>
        <w:t>increasing their range of options;</w:t>
      </w:r>
    </w:p>
    <w:p w:rsidR="00A927C2" w:rsidRPr="00C65905" w:rsidRDefault="00A927C2" w:rsidP="00C65905">
      <w:pPr>
        <w:widowControl w:val="0"/>
        <w:numPr>
          <w:ilvl w:val="0"/>
          <w:numId w:val="7"/>
        </w:numPr>
        <w:autoSpaceDE w:val="0"/>
        <w:autoSpaceDN w:val="0"/>
        <w:adjustRightInd w:val="0"/>
        <w:spacing w:line="276" w:lineRule="auto"/>
        <w:ind w:left="993" w:hanging="437"/>
        <w:rPr>
          <w:rFonts w:cstheme="minorHAnsi"/>
          <w:color w:val="201D1A"/>
        </w:rPr>
      </w:pPr>
      <w:r w:rsidRPr="00C65905">
        <w:rPr>
          <w:rFonts w:cstheme="minorHAnsi"/>
          <w:color w:val="201D1A"/>
        </w:rPr>
        <w:t>clarifying how they’d like things to be as they get even better;</w:t>
      </w:r>
    </w:p>
    <w:p w:rsidR="00A927C2" w:rsidRPr="00C65905" w:rsidRDefault="00A927C2" w:rsidP="00C65905">
      <w:pPr>
        <w:widowControl w:val="0"/>
        <w:numPr>
          <w:ilvl w:val="0"/>
          <w:numId w:val="7"/>
        </w:numPr>
        <w:autoSpaceDE w:val="0"/>
        <w:autoSpaceDN w:val="0"/>
        <w:adjustRightInd w:val="0"/>
        <w:spacing w:line="276" w:lineRule="auto"/>
        <w:ind w:left="993" w:hanging="437"/>
        <w:rPr>
          <w:rFonts w:cstheme="minorHAnsi"/>
          <w:color w:val="201D1A"/>
        </w:rPr>
      </w:pPr>
      <w:r w:rsidRPr="00C65905">
        <w:rPr>
          <w:rFonts w:cstheme="minorHAnsi"/>
          <w:color w:val="201D1A"/>
        </w:rPr>
        <w:t>understanding what they need to do to get there;</w:t>
      </w:r>
    </w:p>
    <w:p w:rsidR="00A927C2" w:rsidRPr="00C65905" w:rsidRDefault="00A927C2" w:rsidP="00C65905">
      <w:pPr>
        <w:widowControl w:val="0"/>
        <w:numPr>
          <w:ilvl w:val="0"/>
          <w:numId w:val="7"/>
        </w:numPr>
        <w:autoSpaceDE w:val="0"/>
        <w:autoSpaceDN w:val="0"/>
        <w:adjustRightInd w:val="0"/>
        <w:spacing w:line="276" w:lineRule="auto"/>
        <w:ind w:left="993" w:hanging="437"/>
        <w:rPr>
          <w:rFonts w:cstheme="minorHAnsi"/>
          <w:color w:val="201D1A"/>
        </w:rPr>
      </w:pPr>
      <w:r w:rsidRPr="00C65905">
        <w:rPr>
          <w:rFonts w:cstheme="minorHAnsi"/>
          <w:color w:val="201D1A"/>
        </w:rPr>
        <w:t>becoming more creative and optimistic;</w:t>
      </w:r>
    </w:p>
    <w:p w:rsidR="00A927C2" w:rsidRPr="00C65905" w:rsidRDefault="00A927C2" w:rsidP="00C65905">
      <w:pPr>
        <w:widowControl w:val="0"/>
        <w:numPr>
          <w:ilvl w:val="0"/>
          <w:numId w:val="7"/>
        </w:numPr>
        <w:autoSpaceDE w:val="0"/>
        <w:autoSpaceDN w:val="0"/>
        <w:adjustRightInd w:val="0"/>
        <w:spacing w:line="276" w:lineRule="auto"/>
        <w:ind w:left="993" w:hanging="437"/>
        <w:rPr>
          <w:rFonts w:cstheme="minorHAnsi"/>
          <w:color w:val="201D1A"/>
        </w:rPr>
      </w:pPr>
      <w:r w:rsidRPr="00C65905">
        <w:rPr>
          <w:rFonts w:cstheme="minorHAnsi"/>
          <w:color w:val="201D1A"/>
        </w:rPr>
        <w:t>feeling more positive and confident about change.</w:t>
      </w:r>
    </w:p>
    <w:p w:rsidR="00A927C2" w:rsidRPr="00C65905" w:rsidRDefault="00A927C2" w:rsidP="00C65905">
      <w:pPr>
        <w:widowControl w:val="0"/>
        <w:tabs>
          <w:tab w:val="left" w:pos="220"/>
          <w:tab w:val="left" w:pos="720"/>
        </w:tabs>
        <w:autoSpaceDE w:val="0"/>
        <w:autoSpaceDN w:val="0"/>
        <w:adjustRightInd w:val="0"/>
        <w:spacing w:line="276" w:lineRule="auto"/>
        <w:ind w:left="720"/>
        <w:rPr>
          <w:rFonts w:cstheme="minorHAnsi"/>
          <w:color w:val="201D1A"/>
        </w:rPr>
      </w:pPr>
    </w:p>
    <w:p w:rsidR="00A927C2" w:rsidRDefault="00A927C2" w:rsidP="00C65905">
      <w:pPr>
        <w:widowControl w:val="0"/>
        <w:autoSpaceDE w:val="0"/>
        <w:autoSpaceDN w:val="0"/>
        <w:adjustRightInd w:val="0"/>
        <w:spacing w:line="276" w:lineRule="auto"/>
        <w:rPr>
          <w:rFonts w:cstheme="minorHAnsi"/>
          <w:color w:val="201D1A"/>
        </w:rPr>
      </w:pPr>
      <w:r w:rsidRPr="00C65905">
        <w:rPr>
          <w:rFonts w:cstheme="minorHAnsi"/>
          <w:color w:val="201D1A"/>
        </w:rPr>
        <w:t xml:space="preserve">If used effectively, there is abundant evidence that coaching and mentoring empowers individuals, builds teams, enhances collegiality and improves morale across the team or establishment. As a result of feeling more in control individuals are more likely to accept responsibility both for their own learning and </w:t>
      </w:r>
      <w:r w:rsidR="00C65905" w:rsidRPr="00C65905">
        <w:rPr>
          <w:rFonts w:cstheme="minorHAnsi"/>
          <w:color w:val="201D1A"/>
        </w:rPr>
        <w:t>behavior</w:t>
      </w:r>
      <w:r w:rsidRPr="00C65905">
        <w:rPr>
          <w:rFonts w:cstheme="minorHAnsi"/>
          <w:color w:val="201D1A"/>
        </w:rPr>
        <w:t xml:space="preserve"> and for the aims of the </w:t>
      </w:r>
      <w:proofErr w:type="spellStart"/>
      <w:r w:rsidRPr="00C65905">
        <w:rPr>
          <w:rFonts w:cstheme="minorHAnsi"/>
          <w:color w:val="201D1A"/>
        </w:rPr>
        <w:t>organisation</w:t>
      </w:r>
      <w:proofErr w:type="spellEnd"/>
      <w:r w:rsidRPr="00C65905">
        <w:rPr>
          <w:rFonts w:cstheme="minorHAnsi"/>
          <w:color w:val="201D1A"/>
        </w:rPr>
        <w:t xml:space="preserve"> as a whole.</w:t>
      </w:r>
    </w:p>
    <w:p w:rsidR="00C65905" w:rsidRPr="00C65905" w:rsidRDefault="00C65905" w:rsidP="00C65905">
      <w:pPr>
        <w:widowControl w:val="0"/>
        <w:autoSpaceDE w:val="0"/>
        <w:autoSpaceDN w:val="0"/>
        <w:adjustRightInd w:val="0"/>
        <w:spacing w:line="276" w:lineRule="auto"/>
        <w:rPr>
          <w:rFonts w:cstheme="minorHAnsi"/>
          <w:color w:val="201D1A"/>
        </w:rPr>
      </w:pPr>
    </w:p>
    <w:p w:rsidR="00A927C2" w:rsidRDefault="00A927C2" w:rsidP="00A927C2">
      <w:pPr>
        <w:widowControl w:val="0"/>
        <w:autoSpaceDE w:val="0"/>
        <w:autoSpaceDN w:val="0"/>
        <w:adjustRightInd w:val="0"/>
        <w:spacing w:after="260"/>
        <w:rPr>
          <w:rFonts w:asciiTheme="majorHAnsi" w:hAnsiTheme="majorHAnsi" w:cs="Times"/>
          <w:b/>
          <w:i/>
          <w:color w:val="201D1A"/>
        </w:rPr>
      </w:pPr>
      <w:r w:rsidRPr="008E1DA7">
        <w:rPr>
          <w:rFonts w:asciiTheme="majorHAnsi" w:hAnsiTheme="majorHAnsi" w:cs="Times"/>
          <w:b/>
          <w:i/>
          <w:color w:val="201D1A"/>
          <w:highlight w:val="yellow"/>
        </w:rPr>
        <w:t xml:space="preserve">Useful resources and Further Support e.g. i-develop, </w:t>
      </w:r>
      <w:proofErr w:type="spellStart"/>
      <w:r w:rsidRPr="008E1DA7">
        <w:rPr>
          <w:rFonts w:asciiTheme="majorHAnsi" w:hAnsiTheme="majorHAnsi" w:cs="Times"/>
          <w:b/>
          <w:i/>
          <w:color w:val="201D1A"/>
          <w:highlight w:val="yellow"/>
        </w:rPr>
        <w:t>GTCS</w:t>
      </w:r>
      <w:proofErr w:type="spellEnd"/>
      <w:r w:rsidRPr="008E1DA7">
        <w:rPr>
          <w:rFonts w:asciiTheme="majorHAnsi" w:hAnsiTheme="majorHAnsi" w:cs="Times"/>
          <w:b/>
          <w:i/>
          <w:color w:val="201D1A"/>
          <w:highlight w:val="yellow"/>
        </w:rPr>
        <w:t xml:space="preserve">, </w:t>
      </w:r>
      <w:proofErr w:type="spellStart"/>
      <w:r w:rsidRPr="008E1DA7">
        <w:rPr>
          <w:rFonts w:asciiTheme="majorHAnsi" w:hAnsiTheme="majorHAnsi" w:cs="Times"/>
          <w:b/>
          <w:i/>
          <w:color w:val="201D1A"/>
          <w:highlight w:val="yellow"/>
        </w:rPr>
        <w:t>SSSC</w:t>
      </w:r>
      <w:proofErr w:type="spellEnd"/>
      <w:r w:rsidRPr="008E1DA7">
        <w:rPr>
          <w:rFonts w:asciiTheme="majorHAnsi" w:hAnsiTheme="majorHAnsi" w:cs="Times"/>
          <w:b/>
          <w:i/>
          <w:color w:val="201D1A"/>
          <w:highlight w:val="yellow"/>
        </w:rPr>
        <w:t xml:space="preserve">, ES </w:t>
      </w:r>
      <w:proofErr w:type="spellStart"/>
      <w:r w:rsidRPr="008E1DA7">
        <w:rPr>
          <w:rFonts w:asciiTheme="majorHAnsi" w:hAnsiTheme="majorHAnsi" w:cs="Times"/>
          <w:b/>
          <w:i/>
          <w:color w:val="201D1A"/>
          <w:highlight w:val="yellow"/>
        </w:rPr>
        <w:t>etc</w:t>
      </w:r>
      <w:proofErr w:type="spellEnd"/>
      <w:r w:rsidRPr="008E1DA7">
        <w:rPr>
          <w:rFonts w:asciiTheme="majorHAnsi" w:hAnsiTheme="majorHAnsi" w:cs="Times"/>
          <w:b/>
          <w:i/>
          <w:color w:val="201D1A"/>
          <w:highlight w:val="yellow"/>
        </w:rPr>
        <w:t xml:space="preserve"> and links?</w:t>
      </w:r>
    </w:p>
    <w:p w:rsidR="00C65905" w:rsidRPr="00AE4A1A" w:rsidRDefault="00C65905" w:rsidP="00A927C2">
      <w:pPr>
        <w:widowControl w:val="0"/>
        <w:autoSpaceDE w:val="0"/>
        <w:autoSpaceDN w:val="0"/>
        <w:adjustRightInd w:val="0"/>
        <w:spacing w:after="260"/>
        <w:rPr>
          <w:rFonts w:asciiTheme="majorHAnsi" w:hAnsiTheme="majorHAnsi" w:cs="Times"/>
          <w:b/>
          <w:i/>
          <w:color w:val="201D1A"/>
        </w:rPr>
      </w:pPr>
    </w:p>
    <w:p w:rsidR="00A927C2" w:rsidRPr="00C65905" w:rsidRDefault="00A927C2" w:rsidP="00C65905">
      <w:pPr>
        <w:spacing w:after="120" w:line="276" w:lineRule="auto"/>
        <w:rPr>
          <w:rFonts w:cstheme="minorHAnsi"/>
          <w:b/>
          <w:sz w:val="28"/>
          <w:szCs w:val="28"/>
          <w:lang w:val="en-GB"/>
        </w:rPr>
      </w:pPr>
      <w:r w:rsidRPr="00C65905">
        <w:rPr>
          <w:rFonts w:cstheme="minorHAnsi"/>
          <w:b/>
          <w:sz w:val="28"/>
          <w:szCs w:val="28"/>
          <w:lang w:val="en-GB"/>
        </w:rPr>
        <w:t>References</w:t>
      </w:r>
    </w:p>
    <w:p w:rsidR="00A927C2" w:rsidRPr="00C65905" w:rsidRDefault="00A927C2" w:rsidP="00C65905">
      <w:pPr>
        <w:pStyle w:val="NoSpacing"/>
        <w:spacing w:after="120" w:line="276" w:lineRule="auto"/>
        <w:rPr>
          <w:rFonts w:cstheme="minorHAnsi"/>
        </w:rPr>
      </w:pPr>
      <w:r w:rsidRPr="00C65905">
        <w:rPr>
          <w:rFonts w:cstheme="minorHAnsi"/>
        </w:rPr>
        <w:t>CLD</w:t>
      </w:r>
      <w:r w:rsidR="00E71122">
        <w:rPr>
          <w:rFonts w:cstheme="minorHAnsi"/>
        </w:rPr>
        <w:t xml:space="preserve"> </w:t>
      </w:r>
      <w:r w:rsidRPr="00C65905">
        <w:rPr>
          <w:rFonts w:cstheme="minorHAnsi"/>
        </w:rPr>
        <w:t>S</w:t>
      </w:r>
      <w:r w:rsidR="00E71122">
        <w:rPr>
          <w:rFonts w:cstheme="minorHAnsi"/>
        </w:rPr>
        <w:t xml:space="preserve">tandards </w:t>
      </w:r>
      <w:r w:rsidRPr="00C65905">
        <w:rPr>
          <w:rFonts w:cstheme="minorHAnsi"/>
        </w:rPr>
        <w:t>C</w:t>
      </w:r>
      <w:r w:rsidR="00E71122">
        <w:rPr>
          <w:rFonts w:cstheme="minorHAnsi"/>
        </w:rPr>
        <w:t>ouncil</w:t>
      </w:r>
      <w:r w:rsidRPr="00C65905">
        <w:rPr>
          <w:rFonts w:cstheme="minorHAnsi"/>
        </w:rPr>
        <w:t xml:space="preserve"> (2015) Growing a Learning Culture in </w:t>
      </w:r>
      <w:proofErr w:type="spellStart"/>
      <w:r w:rsidRPr="00C65905">
        <w:rPr>
          <w:rFonts w:cstheme="minorHAnsi"/>
        </w:rPr>
        <w:t>CPD</w:t>
      </w:r>
      <w:proofErr w:type="spellEnd"/>
      <w:r w:rsidRPr="00C65905">
        <w:rPr>
          <w:rFonts w:cstheme="minorHAnsi"/>
        </w:rPr>
        <w:t xml:space="preserve">, </w:t>
      </w:r>
      <w:hyperlink r:id="rId9" w:history="1">
        <w:r w:rsidR="002E55A3" w:rsidRPr="00AD5CAA">
          <w:rPr>
            <w:rStyle w:val="Hyperlink"/>
            <w:rFonts w:cstheme="minorHAnsi"/>
          </w:rPr>
          <w:t>http://cldstandardscouncil.org.uk/cpd/cpd-strategy/</w:t>
        </w:r>
      </w:hyperlink>
      <w:r w:rsidR="002E55A3">
        <w:rPr>
          <w:rFonts w:cstheme="minorHAnsi"/>
        </w:rPr>
        <w:t xml:space="preserve"> </w:t>
      </w:r>
    </w:p>
    <w:p w:rsidR="00A927C2" w:rsidRPr="00C65905" w:rsidRDefault="00A927C2" w:rsidP="00C65905">
      <w:pPr>
        <w:pStyle w:val="NoSpacing"/>
        <w:spacing w:after="120" w:line="276" w:lineRule="auto"/>
        <w:rPr>
          <w:rFonts w:cstheme="minorHAnsi"/>
        </w:rPr>
      </w:pPr>
      <w:proofErr w:type="spellStart"/>
      <w:r w:rsidRPr="00C65905">
        <w:rPr>
          <w:rFonts w:cstheme="minorHAnsi"/>
        </w:rPr>
        <w:t>Eraut</w:t>
      </w:r>
      <w:proofErr w:type="spellEnd"/>
      <w:r w:rsidRPr="00C65905">
        <w:rPr>
          <w:rFonts w:cstheme="minorHAnsi"/>
        </w:rPr>
        <w:t xml:space="preserve"> M (2008) How Professionals Learning Through Work, University of Surrey</w:t>
      </w:r>
    </w:p>
    <w:p w:rsidR="00A927C2" w:rsidRPr="00C65905" w:rsidRDefault="00A927C2" w:rsidP="00C65905">
      <w:pPr>
        <w:pStyle w:val="NoSpacing"/>
        <w:spacing w:after="120" w:line="276" w:lineRule="auto"/>
        <w:rPr>
          <w:rFonts w:cstheme="minorHAnsi"/>
        </w:rPr>
      </w:pPr>
      <w:r w:rsidRPr="00C65905">
        <w:rPr>
          <w:rFonts w:cstheme="minorHAnsi"/>
        </w:rPr>
        <w:t>Hook P, McPhail I, Vass A(2006) Coaching and Reflecting Pocketbook, Hampshire, Teachers Pocketbooks</w:t>
      </w:r>
    </w:p>
    <w:p w:rsidR="00A927C2" w:rsidRPr="00C65905" w:rsidRDefault="00A927C2" w:rsidP="00C65905">
      <w:pPr>
        <w:pStyle w:val="NoSpacing"/>
        <w:spacing w:after="120" w:line="276" w:lineRule="auto"/>
        <w:rPr>
          <w:rFonts w:cstheme="minorHAnsi"/>
          <w:i/>
          <w:iCs/>
        </w:rPr>
      </w:pPr>
      <w:r w:rsidRPr="00C65905">
        <w:rPr>
          <w:rFonts w:cstheme="minorHAnsi"/>
        </w:rPr>
        <w:t xml:space="preserve">Kennedy A (2005) </w:t>
      </w:r>
      <w:r w:rsidRPr="00C65905">
        <w:rPr>
          <w:rFonts w:cstheme="minorHAnsi"/>
          <w:bCs/>
        </w:rPr>
        <w:t>Models of Continuing Professional Development: a framework for analysis</w:t>
      </w:r>
      <w:r w:rsidRPr="00C65905">
        <w:rPr>
          <w:rFonts w:cstheme="minorHAnsi"/>
        </w:rPr>
        <w:t xml:space="preserve"> , </w:t>
      </w:r>
      <w:r w:rsidRPr="00C65905">
        <w:rPr>
          <w:rFonts w:cstheme="minorHAnsi"/>
          <w:i/>
          <w:iCs/>
        </w:rPr>
        <w:t>Journal of In-service Education, Volume 31, Number 2</w:t>
      </w:r>
    </w:p>
    <w:p w:rsidR="00A927C2" w:rsidRPr="00C65905" w:rsidRDefault="00A927C2" w:rsidP="00C65905">
      <w:pPr>
        <w:pStyle w:val="NoSpacing"/>
        <w:spacing w:after="120" w:line="276" w:lineRule="auto"/>
        <w:rPr>
          <w:rFonts w:cstheme="minorHAnsi"/>
        </w:rPr>
      </w:pPr>
      <w:proofErr w:type="spellStart"/>
      <w:r w:rsidRPr="00C65905">
        <w:rPr>
          <w:rFonts w:cstheme="minorHAnsi"/>
        </w:rPr>
        <w:t>Schon</w:t>
      </w:r>
      <w:proofErr w:type="spellEnd"/>
      <w:r w:rsidRPr="00C65905">
        <w:rPr>
          <w:rFonts w:cstheme="minorHAnsi"/>
        </w:rPr>
        <w:t xml:space="preserve"> D (1987) Educating the Reflective Practitioner: Towards a New Design for Teaching and Learning in the Professions, San Francisco: </w:t>
      </w:r>
      <w:proofErr w:type="spellStart"/>
      <w:r w:rsidRPr="00C65905">
        <w:rPr>
          <w:rFonts w:cstheme="minorHAnsi"/>
        </w:rPr>
        <w:t>Jossey</w:t>
      </w:r>
      <w:proofErr w:type="spellEnd"/>
      <w:r w:rsidRPr="00C65905">
        <w:rPr>
          <w:rFonts w:cstheme="minorHAnsi"/>
        </w:rPr>
        <w:t>-Bass</w:t>
      </w:r>
    </w:p>
    <w:p w:rsidR="00A927C2" w:rsidRDefault="00A927C2" w:rsidP="00A927C2">
      <w:pPr>
        <w:pStyle w:val="NoSpacing"/>
        <w:rPr>
          <w:rFonts w:asciiTheme="majorHAnsi" w:hAnsiTheme="majorHAnsi" w:cs="Times"/>
        </w:rPr>
      </w:pPr>
    </w:p>
    <w:sectPr w:rsidR="00A927C2" w:rsidSect="00B561C0">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9A8" w:rsidRDefault="001939A8" w:rsidP="001939A8">
      <w:r>
        <w:separator/>
      </w:r>
    </w:p>
  </w:endnote>
  <w:endnote w:type="continuationSeparator" w:id="0">
    <w:p w:rsidR="001939A8" w:rsidRDefault="001939A8" w:rsidP="0019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292" w:rsidRPr="00E06292" w:rsidRDefault="00E06292">
    <w:pPr>
      <w:pStyle w:val="Footer"/>
      <w:rPr>
        <w:sz w:val="20"/>
        <w:szCs w:val="20"/>
      </w:rPr>
    </w:pPr>
    <w:r w:rsidRPr="00E06292">
      <w:rPr>
        <w:sz w:val="20"/>
        <w:szCs w:val="20"/>
      </w:rPr>
      <w:t>CLD Standards Council Scotland</w:t>
    </w:r>
    <w:r w:rsidRPr="00E06292">
      <w:rPr>
        <w:sz w:val="20"/>
        <w:szCs w:val="20"/>
      </w:rPr>
      <w:tab/>
      <w:t>2019</w:t>
    </w:r>
    <w:r w:rsidRPr="00E06292">
      <w:rPr>
        <w:sz w:val="20"/>
        <w:szCs w:val="20"/>
      </w:rPr>
      <w:tab/>
    </w:r>
    <w:r w:rsidRPr="00E06292">
      <w:rPr>
        <w:sz w:val="20"/>
        <w:szCs w:val="20"/>
      </w:rPr>
      <w:fldChar w:fldCharType="begin"/>
    </w:r>
    <w:r w:rsidRPr="00E06292">
      <w:rPr>
        <w:sz w:val="20"/>
        <w:szCs w:val="20"/>
      </w:rPr>
      <w:instrText xml:space="preserve"> PAGE   \* MERGEFORMAT </w:instrText>
    </w:r>
    <w:r w:rsidRPr="00E06292">
      <w:rPr>
        <w:sz w:val="20"/>
        <w:szCs w:val="20"/>
      </w:rPr>
      <w:fldChar w:fldCharType="separate"/>
    </w:r>
    <w:r w:rsidR="001D142B">
      <w:rPr>
        <w:noProof/>
        <w:sz w:val="20"/>
        <w:szCs w:val="20"/>
      </w:rPr>
      <w:t>3</w:t>
    </w:r>
    <w:r w:rsidRPr="00E0629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9A8" w:rsidRDefault="001939A8" w:rsidP="001939A8">
      <w:r>
        <w:separator/>
      </w:r>
    </w:p>
  </w:footnote>
  <w:footnote w:type="continuationSeparator" w:id="0">
    <w:p w:rsidR="001939A8" w:rsidRDefault="001939A8" w:rsidP="00193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A8" w:rsidRDefault="004A7C1E">
    <w:pPr>
      <w:pStyle w:val="Header"/>
      <w:rPr>
        <w:b/>
        <w:sz w:val="32"/>
        <w:szCs w:val="32"/>
      </w:rPr>
    </w:pPr>
    <w:r>
      <w:rPr>
        <w:noProof/>
        <w:lang w:val="en-GB" w:eastAsia="en-GB"/>
      </w:rPr>
      <w:drawing>
        <wp:anchor distT="0" distB="0" distL="114300" distR="114300" simplePos="0" relativeHeight="251659264" behindDoc="0" locked="0" layoutInCell="1" allowOverlap="1" wp14:anchorId="4F4BD0A1" wp14:editId="2A8F9E09">
          <wp:simplePos x="0" y="0"/>
          <wp:positionH relativeFrom="column">
            <wp:posOffset>4771390</wp:posOffset>
          </wp:positionH>
          <wp:positionV relativeFrom="paragraph">
            <wp:posOffset>-209550</wp:posOffset>
          </wp:positionV>
          <wp:extent cx="1022985" cy="975360"/>
          <wp:effectExtent l="0" t="0" r="5715" b="0"/>
          <wp:wrapThrough wrapText="bothSides">
            <wp:wrapPolygon edited="0">
              <wp:start x="0" y="0"/>
              <wp:lineTo x="0" y="21094"/>
              <wp:lineTo x="21318" y="21094"/>
              <wp:lineTo x="2131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D_Colour_Logo_medi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985" cy="975360"/>
                  </a:xfrm>
                  <a:prstGeom prst="rect">
                    <a:avLst/>
                  </a:prstGeom>
                </pic:spPr>
              </pic:pic>
            </a:graphicData>
          </a:graphic>
          <wp14:sizeRelH relativeFrom="page">
            <wp14:pctWidth>0</wp14:pctWidth>
          </wp14:sizeRelH>
          <wp14:sizeRelV relativeFrom="page">
            <wp14:pctHeight>0</wp14:pctHeight>
          </wp14:sizeRelV>
        </wp:anchor>
      </w:drawing>
    </w:r>
    <w:r w:rsidR="001939A8" w:rsidRPr="001939A8">
      <w:rPr>
        <w:b/>
        <w:sz w:val="32"/>
        <w:szCs w:val="32"/>
      </w:rPr>
      <w:t>CLD Practitioner Professional Learning</w:t>
    </w:r>
  </w:p>
  <w:p w:rsidR="004A7C1E" w:rsidRPr="001939A8" w:rsidRDefault="004A7C1E">
    <w:pPr>
      <w:pStyle w:val="Header"/>
      <w:rPr>
        <w:b/>
        <w:sz w:val="32"/>
        <w:szCs w:val="32"/>
      </w:rPr>
    </w:pPr>
  </w:p>
  <w:p w:rsidR="001939A8" w:rsidRPr="001939A8" w:rsidRDefault="001939A8">
    <w:pPr>
      <w:pStyle w:val="Header"/>
      <w:rPr>
        <w:b/>
        <w:sz w:val="32"/>
        <w:szCs w:val="32"/>
      </w:rPr>
    </w:pPr>
    <w:r w:rsidRPr="001939A8">
      <w:rPr>
        <w:b/>
        <w:sz w:val="32"/>
        <w:szCs w:val="32"/>
      </w:rPr>
      <w:t>Mentoring Considerations</w:t>
    </w:r>
  </w:p>
  <w:p w:rsidR="001939A8" w:rsidRPr="00E06292" w:rsidRDefault="001939A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03835F2"/>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50A22989"/>
    <w:multiLevelType w:val="singleLevel"/>
    <w:tmpl w:val="08090017"/>
    <w:lvl w:ilvl="0">
      <w:start w:val="1"/>
      <w:numFmt w:val="lowerLetter"/>
      <w:lvlText w:val="%1)"/>
      <w:lvlJc w:val="left"/>
      <w:pPr>
        <w:tabs>
          <w:tab w:val="num" w:pos="360"/>
        </w:tabs>
        <w:ind w:left="360" w:hanging="360"/>
      </w:p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0"/>
  </w:num>
  <w:num w:numId="4">
    <w:abstractNumId w:val="0"/>
  </w:num>
  <w:num w:numId="5">
    <w:abstractNumId w:val="4"/>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C2"/>
    <w:rsid w:val="00027C27"/>
    <w:rsid w:val="000C0CF4"/>
    <w:rsid w:val="001939A8"/>
    <w:rsid w:val="001D142B"/>
    <w:rsid w:val="00281579"/>
    <w:rsid w:val="002E55A3"/>
    <w:rsid w:val="00306C61"/>
    <w:rsid w:val="0037582B"/>
    <w:rsid w:val="004A7C1E"/>
    <w:rsid w:val="00590A01"/>
    <w:rsid w:val="00857548"/>
    <w:rsid w:val="008E1DA7"/>
    <w:rsid w:val="00990CC7"/>
    <w:rsid w:val="009B7615"/>
    <w:rsid w:val="00A927C2"/>
    <w:rsid w:val="00B51BDC"/>
    <w:rsid w:val="00B561C0"/>
    <w:rsid w:val="00B773CE"/>
    <w:rsid w:val="00C65905"/>
    <w:rsid w:val="00C91823"/>
    <w:rsid w:val="00D008AB"/>
    <w:rsid w:val="00E06292"/>
    <w:rsid w:val="00E71122"/>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76A2"/>
  <w15:chartTrackingRefBased/>
  <w15:docId w15:val="{398020A1-F32A-4516-AF60-AEA74574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7C2"/>
    <w:rPr>
      <w:rFonts w:eastAsiaTheme="minorEastAsia"/>
      <w:sz w:val="24"/>
      <w:szCs w:val="24"/>
      <w:lang w:val="en-US"/>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NoSpacing">
    <w:name w:val="No Spacing"/>
    <w:uiPriority w:val="1"/>
    <w:qFormat/>
    <w:rsid w:val="00A927C2"/>
    <w:rPr>
      <w:rFonts w:eastAsiaTheme="minorEastAsia"/>
      <w:sz w:val="24"/>
      <w:szCs w:val="24"/>
      <w:lang w:val="en-US"/>
    </w:rPr>
  </w:style>
  <w:style w:type="paragraph" w:styleId="BodyText">
    <w:name w:val="Body Text"/>
    <w:basedOn w:val="Normal"/>
    <w:link w:val="BodyTextChar"/>
    <w:rsid w:val="00990CC7"/>
    <w:rPr>
      <w:rFonts w:ascii="Arial" w:eastAsia="Times New Roman" w:hAnsi="Arial" w:cs="Times New Roman"/>
      <w:szCs w:val="20"/>
      <w:lang w:val="en-GB" w:eastAsia="en-GB"/>
    </w:rPr>
  </w:style>
  <w:style w:type="character" w:customStyle="1" w:styleId="BodyTextChar">
    <w:name w:val="Body Text Char"/>
    <w:basedOn w:val="DefaultParagraphFont"/>
    <w:link w:val="BodyText"/>
    <w:rsid w:val="00990CC7"/>
    <w:rPr>
      <w:rFonts w:ascii="Arial" w:hAnsi="Arial" w:cs="Times New Roman"/>
      <w:sz w:val="24"/>
      <w:szCs w:val="20"/>
      <w:lang w:eastAsia="en-GB"/>
    </w:rPr>
  </w:style>
  <w:style w:type="paragraph" w:styleId="Title">
    <w:name w:val="Title"/>
    <w:basedOn w:val="Normal"/>
    <w:link w:val="TitleChar"/>
    <w:qFormat/>
    <w:rsid w:val="00990CC7"/>
    <w:pPr>
      <w:jc w:val="center"/>
    </w:pPr>
    <w:rPr>
      <w:rFonts w:ascii="Arial" w:eastAsia="Times New Roman" w:hAnsi="Arial" w:cs="Times New Roman"/>
      <w:b/>
      <w:szCs w:val="20"/>
      <w:lang w:val="en-GB" w:eastAsia="en-GB"/>
    </w:rPr>
  </w:style>
  <w:style w:type="character" w:customStyle="1" w:styleId="TitleChar">
    <w:name w:val="Title Char"/>
    <w:basedOn w:val="DefaultParagraphFont"/>
    <w:link w:val="Title"/>
    <w:rsid w:val="00990CC7"/>
    <w:rPr>
      <w:rFonts w:ascii="Arial" w:hAnsi="Arial" w:cs="Times New Roman"/>
      <w:b/>
      <w:sz w:val="24"/>
      <w:szCs w:val="20"/>
      <w:lang w:eastAsia="en-GB"/>
    </w:rPr>
  </w:style>
  <w:style w:type="character" w:styleId="Hyperlink">
    <w:name w:val="Hyperlink"/>
    <w:basedOn w:val="DefaultParagraphFont"/>
    <w:uiPriority w:val="99"/>
    <w:unhideWhenUsed/>
    <w:rsid w:val="002E55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dstandardscouncil.org.uk/cpd/cpd-strate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Renton L (Lorna)</dc:creator>
  <cp:keywords/>
  <dc:description/>
  <cp:lastModifiedBy>Renton L (Lorna)</cp:lastModifiedBy>
  <cp:revision>8</cp:revision>
  <dcterms:created xsi:type="dcterms:W3CDTF">2019-04-11T08:41:00Z</dcterms:created>
  <dcterms:modified xsi:type="dcterms:W3CDTF">2019-04-11T14:34:00Z</dcterms:modified>
</cp:coreProperties>
</file>