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19" w:rsidRDefault="00174B60" w:rsidP="00174B6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FB67FAD" wp14:editId="4B82E40F">
            <wp:extent cx="2857500" cy="1285875"/>
            <wp:effectExtent l="0" t="0" r="0" b="9525"/>
            <wp:docPr id="1" name="Picture 1" descr="CLD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DM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60" w:rsidRDefault="00174B60" w:rsidP="00247C8D"/>
    <w:p w:rsidR="00174B60" w:rsidRPr="00174B60" w:rsidRDefault="00174B60" w:rsidP="00247C8D">
      <w:pPr>
        <w:jc w:val="center"/>
        <w:rPr>
          <w:sz w:val="28"/>
          <w:szCs w:val="28"/>
        </w:rPr>
      </w:pPr>
      <w:r w:rsidRPr="00247C8D">
        <w:rPr>
          <w:sz w:val="28"/>
          <w:szCs w:val="28"/>
        </w:rPr>
        <w:t xml:space="preserve">Community Learning and Development </w:t>
      </w:r>
      <w:r w:rsidR="00D26FB2">
        <w:rPr>
          <w:sz w:val="28"/>
          <w:szCs w:val="28"/>
        </w:rPr>
        <w:t xml:space="preserve">Managers Scotland </w:t>
      </w:r>
      <w:r w:rsidRPr="00247C8D">
        <w:rPr>
          <w:sz w:val="28"/>
          <w:szCs w:val="28"/>
        </w:rPr>
        <w:t>Annual Conference will take place on Tuesday 18 and Wednesday 19 October 2016 in the Westerwood Hotel, Cumbernauld.</w:t>
      </w:r>
    </w:p>
    <w:p w:rsidR="00174B60" w:rsidRPr="00247C8D" w:rsidRDefault="00174B60" w:rsidP="00174B60">
      <w:pPr>
        <w:jc w:val="center"/>
        <w:rPr>
          <w:sz w:val="24"/>
          <w:szCs w:val="24"/>
        </w:rPr>
      </w:pPr>
      <w:r w:rsidRPr="00247C8D">
        <w:rPr>
          <w:sz w:val="24"/>
          <w:szCs w:val="24"/>
        </w:rPr>
        <w:t>The Theme for the Conference is</w:t>
      </w:r>
    </w:p>
    <w:p w:rsidR="00174B60" w:rsidRPr="009F1B3F" w:rsidRDefault="00174B60" w:rsidP="00174B60">
      <w:pPr>
        <w:jc w:val="center"/>
        <w:rPr>
          <w:color w:val="FF0000"/>
          <w:sz w:val="28"/>
          <w:szCs w:val="28"/>
        </w:rPr>
      </w:pPr>
      <w:r w:rsidRPr="009F1B3F">
        <w:rPr>
          <w:color w:val="FF0000"/>
          <w:sz w:val="28"/>
          <w:szCs w:val="28"/>
        </w:rPr>
        <w:t xml:space="preserve"> ‘The Role of Community Learning and Development in creating a fairer Scotland’</w:t>
      </w:r>
    </w:p>
    <w:p w:rsidR="00247C8D" w:rsidRDefault="00247C8D" w:rsidP="00174B60">
      <w:pPr>
        <w:jc w:val="center"/>
        <w:rPr>
          <w:sz w:val="24"/>
          <w:szCs w:val="24"/>
        </w:rPr>
      </w:pPr>
      <w:r>
        <w:rPr>
          <w:sz w:val="24"/>
          <w:szCs w:val="24"/>
        </w:rPr>
        <w:t>Our aim is to explore some of the key principles</w:t>
      </w:r>
      <w:r w:rsidR="009F1B3F">
        <w:rPr>
          <w:sz w:val="24"/>
          <w:szCs w:val="24"/>
        </w:rPr>
        <w:t xml:space="preserve"> and approaches</w:t>
      </w:r>
      <w:r>
        <w:rPr>
          <w:sz w:val="24"/>
          <w:szCs w:val="24"/>
        </w:rPr>
        <w:t xml:space="preserve"> CLD should consider </w:t>
      </w:r>
      <w:r w:rsidR="009F3CA8">
        <w:rPr>
          <w:sz w:val="24"/>
          <w:szCs w:val="24"/>
        </w:rPr>
        <w:t>when</w:t>
      </w:r>
      <w:r w:rsidR="00D26FB2">
        <w:rPr>
          <w:sz w:val="24"/>
          <w:szCs w:val="24"/>
        </w:rPr>
        <w:t>:</w:t>
      </w:r>
    </w:p>
    <w:p w:rsidR="009F3CA8" w:rsidRPr="009F1B3F" w:rsidRDefault="00247C8D" w:rsidP="009F3CA8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9F1B3F">
        <w:rPr>
          <w:color w:val="FF0000"/>
          <w:sz w:val="24"/>
          <w:szCs w:val="24"/>
        </w:rPr>
        <w:t>Addressing health inequalities</w:t>
      </w:r>
    </w:p>
    <w:p w:rsidR="00247C8D" w:rsidRPr="009F1B3F" w:rsidRDefault="00D26FB2" w:rsidP="009F3CA8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Tackling poverty through promoting employment and minimising the impact of welfare reform</w:t>
      </w:r>
    </w:p>
    <w:p w:rsidR="00247C8D" w:rsidRPr="009F1B3F" w:rsidRDefault="00247C8D" w:rsidP="009F3CA8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9F1B3F">
        <w:rPr>
          <w:color w:val="FF0000"/>
          <w:sz w:val="24"/>
          <w:szCs w:val="24"/>
        </w:rPr>
        <w:t>E</w:t>
      </w:r>
      <w:r w:rsidR="00D26FB2">
        <w:rPr>
          <w:color w:val="FF0000"/>
          <w:sz w:val="24"/>
          <w:szCs w:val="24"/>
        </w:rPr>
        <w:t>mpowering communities - e</w:t>
      </w:r>
      <w:r w:rsidRPr="009F1B3F">
        <w:rPr>
          <w:color w:val="FF0000"/>
          <w:sz w:val="24"/>
          <w:szCs w:val="24"/>
        </w:rPr>
        <w:t>ngaging and developing the capacity of local people</w:t>
      </w:r>
    </w:p>
    <w:p w:rsidR="00247C8D" w:rsidRPr="009F1B3F" w:rsidRDefault="00D26FB2" w:rsidP="009F3CA8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Closing the attainment gap – promoting equality through learning</w:t>
      </w:r>
    </w:p>
    <w:p w:rsidR="009F3CA8" w:rsidRDefault="009F3CA8" w:rsidP="009F3CA8">
      <w:pPr>
        <w:jc w:val="center"/>
        <w:rPr>
          <w:sz w:val="24"/>
          <w:szCs w:val="24"/>
        </w:rPr>
      </w:pPr>
      <w:r>
        <w:rPr>
          <w:sz w:val="24"/>
          <w:szCs w:val="24"/>
        </w:rPr>
        <w:t>The con</w:t>
      </w:r>
      <w:r w:rsidR="00D26FB2">
        <w:rPr>
          <w:sz w:val="24"/>
          <w:szCs w:val="24"/>
        </w:rPr>
        <w:t>ference will be of interest to staff and m</w:t>
      </w:r>
      <w:r>
        <w:rPr>
          <w:sz w:val="24"/>
          <w:szCs w:val="24"/>
        </w:rPr>
        <w:t>anag</w:t>
      </w:r>
      <w:r w:rsidR="00D26FB2">
        <w:rPr>
          <w:sz w:val="24"/>
          <w:szCs w:val="24"/>
        </w:rPr>
        <w:t>ers involved in all sectors of community learning and d</w:t>
      </w:r>
      <w:r>
        <w:rPr>
          <w:sz w:val="24"/>
          <w:szCs w:val="24"/>
        </w:rPr>
        <w:t>evelopment, including Local Authority Services, Further Education, Community Planning, Voluntary and Third Sector Organisations</w:t>
      </w:r>
    </w:p>
    <w:p w:rsidR="00247C8D" w:rsidRDefault="00A3086B" w:rsidP="00A3086B">
      <w:pPr>
        <w:jc w:val="center"/>
        <w:rPr>
          <w:sz w:val="24"/>
          <w:szCs w:val="24"/>
        </w:rPr>
      </w:pPr>
      <w:r>
        <w:rPr>
          <w:sz w:val="24"/>
          <w:szCs w:val="24"/>
        </w:rPr>
        <w:t>(See below for programme outline)</w:t>
      </w:r>
    </w:p>
    <w:p w:rsidR="00A3086B" w:rsidRDefault="00A3086B" w:rsidP="00A3086B">
      <w:pPr>
        <w:jc w:val="center"/>
        <w:rPr>
          <w:sz w:val="24"/>
          <w:szCs w:val="24"/>
        </w:rPr>
      </w:pPr>
    </w:p>
    <w:p w:rsidR="00A3086B" w:rsidRPr="00A3086B" w:rsidRDefault="001F1EA9" w:rsidP="00A3086B">
      <w:pPr>
        <w:jc w:val="center"/>
        <w:rPr>
          <w:sz w:val="24"/>
          <w:szCs w:val="24"/>
        </w:rPr>
      </w:pPr>
      <w:r w:rsidRPr="00A3086B">
        <w:rPr>
          <w:sz w:val="24"/>
          <w:szCs w:val="24"/>
          <w:lang w:val="en-US"/>
        </w:rPr>
        <w:t>Bookings are now live and can be made</w:t>
      </w:r>
      <w:r w:rsidR="00A3086B" w:rsidRPr="00A3086B">
        <w:rPr>
          <w:sz w:val="24"/>
          <w:szCs w:val="24"/>
          <w:lang w:val="en-US"/>
        </w:rPr>
        <w:t xml:space="preserve"> by clicking:</w:t>
      </w:r>
      <w:r w:rsidRPr="00A3086B">
        <w:rPr>
          <w:sz w:val="24"/>
          <w:szCs w:val="24"/>
          <w:lang w:val="en-US"/>
        </w:rPr>
        <w:t xml:space="preserve"> </w:t>
      </w:r>
      <w:hyperlink r:id="rId7" w:history="1">
        <w:r w:rsidR="00A3086B" w:rsidRPr="00A3086B">
          <w:rPr>
            <w:rStyle w:val="Hyperlink"/>
            <w:sz w:val="24"/>
            <w:szCs w:val="24"/>
          </w:rPr>
          <w:t>online booking form</w:t>
        </w:r>
      </w:hyperlink>
    </w:p>
    <w:p w:rsidR="00A3086B" w:rsidRPr="00A3086B" w:rsidRDefault="00A3086B" w:rsidP="009F1B3F">
      <w:pPr>
        <w:jc w:val="center"/>
        <w:rPr>
          <w:sz w:val="24"/>
          <w:szCs w:val="24"/>
          <w:lang w:val="en-US"/>
        </w:rPr>
      </w:pPr>
      <w:r w:rsidRPr="00A3086B">
        <w:rPr>
          <w:sz w:val="24"/>
          <w:szCs w:val="24"/>
          <w:lang w:val="en-US"/>
        </w:rPr>
        <w:t xml:space="preserve"> </w:t>
      </w:r>
      <w:r w:rsidR="001F1EA9" w:rsidRPr="00A3086B">
        <w:rPr>
          <w:sz w:val="24"/>
          <w:szCs w:val="24"/>
          <w:lang w:val="en-US"/>
        </w:rPr>
        <w:t xml:space="preserve">Places at the full conference, including dinner, meals and overnight accommodation, cost £180. </w:t>
      </w:r>
      <w:r w:rsidR="00D26FB2">
        <w:rPr>
          <w:sz w:val="24"/>
          <w:szCs w:val="24"/>
          <w:lang w:val="en-US"/>
        </w:rPr>
        <w:t>The d</w:t>
      </w:r>
      <w:r w:rsidR="001F1EA9" w:rsidRPr="00A3086B">
        <w:rPr>
          <w:sz w:val="24"/>
          <w:szCs w:val="24"/>
          <w:lang w:val="en-US"/>
        </w:rPr>
        <w:t xml:space="preserve">ay </w:t>
      </w:r>
      <w:r w:rsidR="00D26FB2">
        <w:rPr>
          <w:sz w:val="24"/>
          <w:szCs w:val="24"/>
          <w:lang w:val="en-US"/>
        </w:rPr>
        <w:t>delegate rate</w:t>
      </w:r>
      <w:r w:rsidR="00DF4EFE" w:rsidRPr="00A3086B">
        <w:rPr>
          <w:sz w:val="24"/>
          <w:szCs w:val="24"/>
          <w:lang w:val="en-US"/>
        </w:rPr>
        <w:t>, including</w:t>
      </w:r>
      <w:r w:rsidR="00E07A30" w:rsidRPr="00A3086B">
        <w:rPr>
          <w:sz w:val="24"/>
          <w:szCs w:val="24"/>
          <w:lang w:val="en-US"/>
        </w:rPr>
        <w:t xml:space="preserve"> lunch is £75.</w:t>
      </w:r>
      <w:r w:rsidR="00D26FB2">
        <w:rPr>
          <w:sz w:val="24"/>
          <w:szCs w:val="24"/>
          <w:lang w:val="en-US"/>
        </w:rPr>
        <w:t xml:space="preserve"> Further information i</w:t>
      </w:r>
      <w:r w:rsidRPr="00A3086B">
        <w:rPr>
          <w:sz w:val="24"/>
          <w:szCs w:val="24"/>
          <w:lang w:val="en-US"/>
        </w:rPr>
        <w:t>s available in the booking form.</w:t>
      </w:r>
    </w:p>
    <w:p w:rsidR="001F1EA9" w:rsidRPr="00A3086B" w:rsidRDefault="00D26FB2" w:rsidP="009F1B3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564ED3">
        <w:rPr>
          <w:sz w:val="24"/>
          <w:szCs w:val="24"/>
          <w:lang w:val="en-US"/>
        </w:rPr>
        <w:t>Please make</w:t>
      </w:r>
      <w:r w:rsidR="006F51FA">
        <w:rPr>
          <w:sz w:val="24"/>
          <w:szCs w:val="24"/>
          <w:lang w:val="en-US"/>
        </w:rPr>
        <w:t xml:space="preserve"> your booking</w:t>
      </w:r>
      <w:r w:rsidR="001F1EA9" w:rsidRPr="00A3086B">
        <w:rPr>
          <w:sz w:val="24"/>
          <w:szCs w:val="24"/>
          <w:lang w:val="en-US"/>
        </w:rPr>
        <w:t xml:space="preserve"> as soon as possi</w:t>
      </w:r>
      <w:r>
        <w:rPr>
          <w:sz w:val="24"/>
          <w:szCs w:val="24"/>
          <w:lang w:val="en-US"/>
        </w:rPr>
        <w:t>ble</w:t>
      </w:r>
      <w:r w:rsidR="001F1EA9" w:rsidRPr="00A3086B">
        <w:rPr>
          <w:sz w:val="24"/>
          <w:szCs w:val="24"/>
          <w:lang w:val="en-US"/>
        </w:rPr>
        <w:t>.</w:t>
      </w:r>
    </w:p>
    <w:p w:rsidR="001F1EA9" w:rsidRDefault="001F1EA9" w:rsidP="00174B60">
      <w:pPr>
        <w:jc w:val="center"/>
        <w:rPr>
          <w:sz w:val="21"/>
          <w:szCs w:val="21"/>
          <w:lang w:val="en-US"/>
        </w:rPr>
      </w:pPr>
    </w:p>
    <w:p w:rsidR="009F1B3F" w:rsidRDefault="009F1B3F" w:rsidP="00174B60">
      <w:pPr>
        <w:jc w:val="center"/>
        <w:rPr>
          <w:sz w:val="21"/>
          <w:szCs w:val="21"/>
          <w:lang w:val="en-US"/>
        </w:rPr>
      </w:pPr>
    </w:p>
    <w:p w:rsidR="009F1B3F" w:rsidRDefault="009F1B3F" w:rsidP="00174B60">
      <w:pPr>
        <w:jc w:val="center"/>
        <w:rPr>
          <w:sz w:val="21"/>
          <w:szCs w:val="21"/>
          <w:lang w:val="en-US"/>
        </w:rPr>
      </w:pPr>
    </w:p>
    <w:p w:rsidR="009F1B3F" w:rsidRDefault="009F1B3F" w:rsidP="00174B60">
      <w:pPr>
        <w:jc w:val="center"/>
        <w:rPr>
          <w:sz w:val="21"/>
          <w:szCs w:val="21"/>
          <w:lang w:val="en-US"/>
        </w:rPr>
      </w:pPr>
    </w:p>
    <w:p w:rsidR="009F1B3F" w:rsidRDefault="009F1B3F" w:rsidP="00174B60">
      <w:pPr>
        <w:jc w:val="center"/>
        <w:rPr>
          <w:sz w:val="21"/>
          <w:szCs w:val="21"/>
          <w:lang w:val="en-US"/>
        </w:rPr>
      </w:pPr>
    </w:p>
    <w:p w:rsidR="00115E28" w:rsidRDefault="00115E28" w:rsidP="00174B60">
      <w:pPr>
        <w:jc w:val="center"/>
        <w:rPr>
          <w:sz w:val="21"/>
          <w:szCs w:val="21"/>
          <w:lang w:val="en-US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9"/>
        <w:gridCol w:w="8270"/>
      </w:tblGrid>
      <w:tr w:rsidR="00BD4DEF" w:rsidRPr="0055781C" w:rsidTr="00115E28">
        <w:trPr>
          <w:trHeight w:val="348"/>
        </w:trPr>
        <w:tc>
          <w:tcPr>
            <w:tcW w:w="0" w:type="auto"/>
            <w:shd w:val="clear" w:color="auto" w:fill="C5E0B3" w:themeFill="accent6" w:themeFillTint="66"/>
          </w:tcPr>
          <w:p w:rsidR="00BD4DEF" w:rsidRPr="0011626C" w:rsidRDefault="00BD4DEF" w:rsidP="00EF71E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2" w:type="dxa"/>
            <w:shd w:val="clear" w:color="auto" w:fill="C5E0B3" w:themeFill="accent6" w:themeFillTint="66"/>
          </w:tcPr>
          <w:p w:rsidR="00BD4DEF" w:rsidRPr="006F51FA" w:rsidRDefault="00BD4DEF" w:rsidP="00EF71E2">
            <w:pPr>
              <w:pStyle w:val="NoSpacing"/>
              <w:jc w:val="center"/>
              <w:rPr>
                <w:b/>
                <w:sz w:val="24"/>
                <w:szCs w:val="24"/>
                <w:highlight w:val="yellow"/>
              </w:rPr>
            </w:pPr>
            <w:r w:rsidRPr="006F51FA">
              <w:rPr>
                <w:b/>
                <w:sz w:val="24"/>
                <w:szCs w:val="24"/>
              </w:rPr>
              <w:t>Session 1, Tuesday 18 October</w:t>
            </w:r>
          </w:p>
        </w:tc>
      </w:tr>
      <w:tr w:rsidR="00BD4DEF" w:rsidRPr="0055781C" w:rsidTr="00115E28">
        <w:trPr>
          <w:trHeight w:val="336"/>
        </w:trPr>
        <w:tc>
          <w:tcPr>
            <w:tcW w:w="0" w:type="auto"/>
            <w:shd w:val="clear" w:color="auto" w:fill="FFFFFF" w:themeFill="background1"/>
          </w:tcPr>
          <w:p w:rsidR="00BD4DEF" w:rsidRPr="005E40F7" w:rsidRDefault="00BD4DEF" w:rsidP="00EF71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272" w:type="dxa"/>
            <w:shd w:val="clear" w:color="auto" w:fill="FFFFFF" w:themeFill="background1"/>
          </w:tcPr>
          <w:p w:rsidR="00BD4DEF" w:rsidRPr="00BC2B42" w:rsidRDefault="00BD4DEF" w:rsidP="00EF71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Arrival &amp; Registration </w:t>
            </w:r>
          </w:p>
        </w:tc>
      </w:tr>
      <w:tr w:rsidR="00BD4DEF" w:rsidRPr="0055781C" w:rsidTr="00BD4DEF">
        <w:trPr>
          <w:trHeight w:val="618"/>
        </w:trPr>
        <w:tc>
          <w:tcPr>
            <w:tcW w:w="0" w:type="auto"/>
            <w:shd w:val="clear" w:color="auto" w:fill="FFFFFF" w:themeFill="background1"/>
          </w:tcPr>
          <w:p w:rsidR="00BD4DEF" w:rsidRPr="005E40F7" w:rsidRDefault="00BD4DEF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10:30</w:t>
            </w:r>
          </w:p>
        </w:tc>
        <w:tc>
          <w:tcPr>
            <w:tcW w:w="8272" w:type="dxa"/>
            <w:shd w:val="clear" w:color="auto" w:fill="FFFFFF" w:themeFill="background1"/>
          </w:tcPr>
          <w:p w:rsidR="00BD4DEF" w:rsidRDefault="00BD4DEF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Welcome and Introductions</w:t>
            </w:r>
          </w:p>
          <w:p w:rsidR="00BD4DEF" w:rsidRPr="005E40F7" w:rsidRDefault="00BD4DEF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Robert Hynd, Interim Chair CLDMS</w:t>
            </w:r>
          </w:p>
        </w:tc>
      </w:tr>
      <w:tr w:rsidR="00BD4DEF" w:rsidRPr="0055781C" w:rsidTr="00BD4DEF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D4DEF" w:rsidRDefault="00BD4DEF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10:40</w:t>
            </w:r>
          </w:p>
        </w:tc>
        <w:tc>
          <w:tcPr>
            <w:tcW w:w="8272" w:type="dxa"/>
            <w:shd w:val="clear" w:color="auto" w:fill="FFFFFF" w:themeFill="background1"/>
          </w:tcPr>
          <w:p w:rsidR="00BD4DEF" w:rsidRPr="00115E28" w:rsidRDefault="00BD4DEF" w:rsidP="00EF71E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15E28">
              <w:rPr>
                <w:b/>
                <w:sz w:val="24"/>
                <w:szCs w:val="24"/>
              </w:rPr>
              <w:t xml:space="preserve">The role of </w:t>
            </w:r>
            <w:r w:rsidRPr="00115E28">
              <w:rPr>
                <w:b/>
              </w:rPr>
              <w:t>Community Learning and Development in Creating a Fairer Scotland</w:t>
            </w:r>
          </w:p>
          <w:p w:rsidR="00BD4DEF" w:rsidRPr="0055781C" w:rsidRDefault="00BD4DEF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Scottish Government Minister Shirley Anne Somerville</w:t>
            </w:r>
          </w:p>
        </w:tc>
      </w:tr>
      <w:tr w:rsidR="00BD4DEF" w:rsidRPr="005E40F7" w:rsidTr="00115E28">
        <w:trPr>
          <w:trHeight w:val="2032"/>
        </w:trPr>
        <w:tc>
          <w:tcPr>
            <w:tcW w:w="0" w:type="auto"/>
            <w:shd w:val="clear" w:color="auto" w:fill="FFFFFF" w:themeFill="background1"/>
          </w:tcPr>
          <w:p w:rsidR="00BD4DEF" w:rsidRPr="0055781C" w:rsidRDefault="00BD4DEF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10:50</w:t>
            </w:r>
          </w:p>
        </w:tc>
        <w:tc>
          <w:tcPr>
            <w:tcW w:w="8272" w:type="dxa"/>
            <w:shd w:val="clear" w:color="auto" w:fill="FFFFFF" w:themeFill="background1"/>
          </w:tcPr>
          <w:p w:rsidR="00BD4DEF" w:rsidRDefault="00BD4DEF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 w:rsidRPr="00115E28">
              <w:rPr>
                <w:rFonts w:eastAsia="Calibri" w:cs="Calibri"/>
                <w:b/>
                <w:sz w:val="24"/>
                <w:szCs w:val="24"/>
                <w:lang w:val="en-US"/>
              </w:rPr>
              <w:t>Panel Discussion</w:t>
            </w:r>
            <w:r w:rsidR="00115E28">
              <w:rPr>
                <w:rFonts w:eastAsia="Calibri" w:cs="Calibri"/>
                <w:sz w:val="24"/>
                <w:szCs w:val="24"/>
                <w:lang w:val="en-US"/>
              </w:rPr>
              <w:t xml:space="preserve">: </w:t>
            </w:r>
            <w:r>
              <w:rPr>
                <w:rFonts w:eastAsia="Calibri" w:cs="Calibri"/>
                <w:sz w:val="24"/>
                <w:szCs w:val="24"/>
                <w:lang w:val="en-US"/>
              </w:rPr>
              <w:t xml:space="preserve"> Member</w:t>
            </w:r>
            <w:r w:rsidR="00BC2B42">
              <w:rPr>
                <w:rFonts w:eastAsia="Calibri" w:cs="Calibri"/>
                <w:sz w:val="24"/>
                <w:szCs w:val="24"/>
                <w:lang w:val="en-US"/>
              </w:rPr>
              <w:t>s</w:t>
            </w:r>
            <w:r>
              <w:rPr>
                <w:rFonts w:eastAsia="Calibri" w:cs="Calibri"/>
                <w:sz w:val="24"/>
                <w:szCs w:val="24"/>
                <w:lang w:val="en-US"/>
              </w:rPr>
              <w:t xml:space="preserve"> of the panel include:</w:t>
            </w:r>
          </w:p>
          <w:p w:rsidR="00BD4DEF" w:rsidRPr="003844D9" w:rsidRDefault="00BD4DEF" w:rsidP="006F51F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sz w:val="24"/>
                <w:szCs w:val="24"/>
              </w:rPr>
            </w:pPr>
            <w:r w:rsidRPr="003844D9">
              <w:rPr>
                <w:sz w:val="24"/>
                <w:szCs w:val="24"/>
              </w:rPr>
              <w:t>Jim Sweeney, YouthLink Scotland (Panel Chair)</w:t>
            </w:r>
          </w:p>
          <w:p w:rsidR="00BD4DEF" w:rsidRPr="003844D9" w:rsidRDefault="00BD4DEF" w:rsidP="006F51F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3844D9">
              <w:rPr>
                <w:rFonts w:cs="Calibri"/>
                <w:sz w:val="24"/>
                <w:szCs w:val="24"/>
              </w:rPr>
              <w:t xml:space="preserve">Shirley Anne Somerville, Scottish First Minister for Further Education, Higher Education &amp; </w:t>
            </w:r>
            <w:r w:rsidR="00BC2B42">
              <w:rPr>
                <w:rFonts w:cs="Calibri"/>
                <w:sz w:val="24"/>
                <w:szCs w:val="24"/>
              </w:rPr>
              <w:t xml:space="preserve">Science </w:t>
            </w:r>
          </w:p>
          <w:p w:rsidR="00BC2B42" w:rsidRDefault="00BD4DEF" w:rsidP="006F51F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3844D9">
              <w:rPr>
                <w:rFonts w:cs="Calibri"/>
                <w:sz w:val="24"/>
                <w:szCs w:val="24"/>
              </w:rPr>
              <w:t>Peter Kelly, Poverty Alliance</w:t>
            </w:r>
          </w:p>
          <w:p w:rsidR="00BD4DEF" w:rsidRPr="00BC2B42" w:rsidRDefault="00BD4DEF" w:rsidP="006F51F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BC2B42">
              <w:rPr>
                <w:rFonts w:cs="Calibri"/>
                <w:sz w:val="24"/>
                <w:szCs w:val="24"/>
              </w:rPr>
              <w:t>Robert Hynd, CLDMS</w:t>
            </w:r>
          </w:p>
        </w:tc>
      </w:tr>
      <w:tr w:rsidR="00BD4DEF" w:rsidRPr="0055781C" w:rsidTr="00BD4DEF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D4DEF" w:rsidRPr="0055781C" w:rsidRDefault="00BD4DEF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11:30</w:t>
            </w:r>
          </w:p>
        </w:tc>
        <w:tc>
          <w:tcPr>
            <w:tcW w:w="8272" w:type="dxa"/>
            <w:shd w:val="clear" w:color="auto" w:fill="FFFFFF" w:themeFill="background1"/>
          </w:tcPr>
          <w:p w:rsidR="00BD4DEF" w:rsidRPr="00115E28" w:rsidRDefault="00BD4DEF" w:rsidP="00EF71E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15E28">
              <w:rPr>
                <w:rFonts w:cs="Calibri"/>
                <w:b/>
                <w:sz w:val="24"/>
                <w:szCs w:val="24"/>
              </w:rPr>
              <w:t>Setting the scene</w:t>
            </w:r>
          </w:p>
          <w:p w:rsidR="00BD4DEF" w:rsidRPr="0055781C" w:rsidRDefault="00BC2B42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Presentation by Peter Kelly, Director,  Poverty Alliance</w:t>
            </w:r>
          </w:p>
        </w:tc>
      </w:tr>
      <w:tr w:rsidR="00BD4DEF" w:rsidRPr="0055781C" w:rsidTr="00BD4DEF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D4DEF" w:rsidRPr="0055781C" w:rsidRDefault="00BD4DEF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12:00</w:t>
            </w:r>
          </w:p>
        </w:tc>
        <w:tc>
          <w:tcPr>
            <w:tcW w:w="8272" w:type="dxa"/>
            <w:shd w:val="clear" w:color="auto" w:fill="FFFFFF" w:themeFill="background1"/>
          </w:tcPr>
          <w:p w:rsidR="00BD4DEF" w:rsidRPr="00115E28" w:rsidRDefault="00BC2B42" w:rsidP="00EF71E2">
            <w:pPr>
              <w:pStyle w:val="NoSpacing"/>
              <w:rPr>
                <w:rFonts w:eastAsia="Calibri" w:cs="Calibri"/>
                <w:b/>
                <w:sz w:val="24"/>
                <w:szCs w:val="24"/>
                <w:lang w:val="en-US"/>
              </w:rPr>
            </w:pPr>
            <w:r w:rsidRPr="00115E28">
              <w:rPr>
                <w:rFonts w:eastAsia="Calibri" w:cs="Calibri"/>
                <w:b/>
                <w:sz w:val="24"/>
                <w:szCs w:val="24"/>
                <w:lang w:val="en-US"/>
              </w:rPr>
              <w:t>Implications for community learning and development in Scotland</w:t>
            </w:r>
          </w:p>
          <w:p w:rsidR="00BD4DEF" w:rsidRPr="003844D9" w:rsidRDefault="00BD4DEF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 w:rsidRPr="003844D9">
              <w:rPr>
                <w:sz w:val="24"/>
                <w:szCs w:val="24"/>
              </w:rPr>
              <w:t>Table Discussions</w:t>
            </w:r>
            <w:r w:rsidR="00BC2B42">
              <w:rPr>
                <w:sz w:val="24"/>
                <w:szCs w:val="24"/>
              </w:rPr>
              <w:t xml:space="preserve"> – an opportunity to consider and apply key messages from the panel discussion and opening presentation</w:t>
            </w:r>
          </w:p>
        </w:tc>
      </w:tr>
      <w:tr w:rsidR="00BD4DEF" w:rsidRPr="0055781C" w:rsidTr="00BD4DEF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D4DEF" w:rsidRPr="00BC2B42" w:rsidRDefault="00BD4DEF" w:rsidP="00EF71E2">
            <w:pPr>
              <w:pStyle w:val="NoSpacing"/>
              <w:rPr>
                <w:rFonts w:eastAsia="Calibri" w:cs="Calibri"/>
                <w:b/>
                <w:sz w:val="24"/>
                <w:szCs w:val="24"/>
                <w:lang w:val="en-US"/>
              </w:rPr>
            </w:pPr>
            <w:r w:rsidRPr="00BC2B42">
              <w:rPr>
                <w:rFonts w:eastAsia="Calibri" w:cs="Calibri"/>
                <w:b/>
                <w:sz w:val="24"/>
                <w:szCs w:val="24"/>
                <w:lang w:val="en-US"/>
              </w:rPr>
              <w:t>12:30</w:t>
            </w:r>
          </w:p>
        </w:tc>
        <w:tc>
          <w:tcPr>
            <w:tcW w:w="8272" w:type="dxa"/>
            <w:shd w:val="clear" w:color="auto" w:fill="FFFFFF" w:themeFill="background1"/>
          </w:tcPr>
          <w:p w:rsidR="00BD4DEF" w:rsidRPr="00BC2B42" w:rsidRDefault="00BD4DEF" w:rsidP="00EF71E2">
            <w:pPr>
              <w:pStyle w:val="NoSpacing"/>
              <w:rPr>
                <w:rFonts w:eastAsia="Calibri" w:cs="Calibri"/>
                <w:b/>
                <w:sz w:val="24"/>
                <w:szCs w:val="24"/>
                <w:lang w:val="en-US"/>
              </w:rPr>
            </w:pPr>
            <w:r w:rsidRPr="00BC2B42">
              <w:rPr>
                <w:rFonts w:cs="Calibri"/>
                <w:b/>
                <w:sz w:val="24"/>
                <w:szCs w:val="24"/>
              </w:rPr>
              <w:t>Lunch</w:t>
            </w:r>
          </w:p>
        </w:tc>
      </w:tr>
      <w:tr w:rsidR="00BD4DEF" w:rsidRPr="0055781C" w:rsidTr="00BD4DEF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D4DEF" w:rsidRDefault="00BD4DEF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8272" w:type="dxa"/>
            <w:shd w:val="clear" w:color="auto" w:fill="FFFFFF" w:themeFill="background1"/>
          </w:tcPr>
          <w:p w:rsidR="00BD4DEF" w:rsidRPr="00BC2B42" w:rsidRDefault="00BD4DEF" w:rsidP="00EF71E2">
            <w:pPr>
              <w:pStyle w:val="NoSpacing"/>
              <w:rPr>
                <w:rFonts w:cs="Calibri"/>
                <w:sz w:val="24"/>
                <w:szCs w:val="24"/>
                <w:u w:val="single"/>
              </w:rPr>
            </w:pPr>
            <w:r w:rsidRPr="00BC2B42">
              <w:rPr>
                <w:rFonts w:cs="Calibri"/>
                <w:sz w:val="24"/>
                <w:szCs w:val="24"/>
                <w:u w:val="single"/>
              </w:rPr>
              <w:t>Workshops</w:t>
            </w:r>
          </w:p>
          <w:p w:rsidR="00BD4DEF" w:rsidRPr="000645DA" w:rsidRDefault="00564ED3" w:rsidP="00BD4DEF">
            <w:pPr>
              <w:rPr>
                <w:lang w:val="en-US"/>
              </w:rPr>
            </w:pPr>
            <w:r>
              <w:t>Delegates will</w:t>
            </w:r>
            <w:r w:rsidR="00BD4DEF">
              <w:t xml:space="preserve"> have the op</w:t>
            </w:r>
            <w:r w:rsidR="00BC2B42">
              <w:t>portunity to choose two</w:t>
            </w:r>
            <w:r w:rsidR="00BD4DEF">
              <w:t xml:space="preserve"> workshops from the list below.  </w:t>
            </w:r>
            <w:r w:rsidR="00BD4DEF">
              <w:rPr>
                <w:lang w:val="en-US"/>
              </w:rPr>
              <w:t>A</w:t>
            </w:r>
            <w:r w:rsidR="00BD4DEF">
              <w:t xml:space="preserve"> range of partner organisations will highlight their thoughts and priorities and engage delegates in professional dialogue focusing on how CLD can effectively contribute to addressing the issues. </w:t>
            </w:r>
          </w:p>
          <w:p w:rsidR="00BD4DEF" w:rsidRDefault="00BD4DEF" w:rsidP="00BD4DE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Fairer </w:t>
            </w:r>
            <w:r w:rsidRPr="00B85CC2">
              <w:rPr>
                <w:b/>
              </w:rPr>
              <w:t>Health</w:t>
            </w:r>
          </w:p>
          <w:p w:rsidR="00BD4DEF" w:rsidRDefault="00BD4DEF" w:rsidP="00BD4DEF">
            <w:pPr>
              <w:pStyle w:val="NoSpacing"/>
            </w:pPr>
            <w:r>
              <w:t>Kat</w:t>
            </w:r>
            <w:r>
              <w:rPr>
                <w:lang w:eastAsia="en-GB"/>
              </w:rPr>
              <w:t xml:space="preserve"> Hasler</w:t>
            </w:r>
            <w:r w:rsidRPr="00645ECB">
              <w:rPr>
                <w:color w:val="FF0000"/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NHS Health Scotland        </w:t>
            </w:r>
          </w:p>
          <w:p w:rsidR="006B2C33" w:rsidRDefault="006B2C33" w:rsidP="00BD4DEF">
            <w:pPr>
              <w:pStyle w:val="NoSpacing"/>
            </w:pPr>
            <w:r>
              <w:t>A.N. Other</w:t>
            </w:r>
          </w:p>
          <w:p w:rsidR="00BD4DEF" w:rsidRDefault="00BD4DEF" w:rsidP="00BD4DEF">
            <w:pPr>
              <w:pStyle w:val="NoSpacing"/>
              <w:rPr>
                <w:lang w:val="en-US" w:eastAsia="en-GB"/>
              </w:rPr>
            </w:pPr>
            <w:r>
              <w:tab/>
            </w:r>
          </w:p>
          <w:p w:rsidR="00BD4DEF" w:rsidRDefault="00BD4DEF" w:rsidP="00BD4DEF">
            <w:pPr>
              <w:pStyle w:val="NoSpacing"/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 xml:space="preserve">Fairer </w:t>
            </w:r>
            <w:r w:rsidRPr="00B85CC2">
              <w:rPr>
                <w:b/>
                <w:lang w:val="en-US" w:eastAsia="en-GB"/>
              </w:rPr>
              <w:t>Wealth</w:t>
            </w:r>
          </w:p>
          <w:p w:rsidR="00BD4DEF" w:rsidRPr="00645ECB" w:rsidRDefault="008A288F" w:rsidP="00BD4DEF">
            <w:pPr>
              <w:pStyle w:val="NoSpacing"/>
              <w:rPr>
                <w:color w:val="FF0000"/>
              </w:rPr>
            </w:pPr>
            <w:r>
              <w:t>Eileen Downie and Eileen McClafferty</w:t>
            </w:r>
            <w:r w:rsidR="00BD4DEF">
              <w:t xml:space="preserve">, DWP  </w:t>
            </w:r>
          </w:p>
          <w:p w:rsidR="00BD4DEF" w:rsidRDefault="00BD4DEF" w:rsidP="00BD4DEF">
            <w:pPr>
              <w:pStyle w:val="NoSpacing"/>
            </w:pPr>
            <w:r>
              <w:t>College Development Network</w:t>
            </w:r>
          </w:p>
          <w:p w:rsidR="00BD4DEF" w:rsidRDefault="00BD4DEF" w:rsidP="00BD4DEF">
            <w:pPr>
              <w:pStyle w:val="NoSpacing"/>
            </w:pPr>
          </w:p>
          <w:p w:rsidR="00BD4DEF" w:rsidRDefault="00BD4DEF" w:rsidP="00BD4DEF">
            <w:pPr>
              <w:pStyle w:val="NoSpacing"/>
            </w:pPr>
            <w:r>
              <w:rPr>
                <w:b/>
              </w:rPr>
              <w:t xml:space="preserve">Fairer </w:t>
            </w:r>
            <w:r w:rsidRPr="00B85CC2">
              <w:rPr>
                <w:b/>
              </w:rPr>
              <w:t>Communities</w:t>
            </w:r>
          </w:p>
          <w:p w:rsidR="00BD4DEF" w:rsidRDefault="008A288F" w:rsidP="00BD4DEF">
            <w:pPr>
              <w:pStyle w:val="NoSpacing"/>
            </w:pPr>
            <w:r>
              <w:t xml:space="preserve">David </w:t>
            </w:r>
            <w:r w:rsidR="006B2C33">
              <w:t>Allan, Scottish</w:t>
            </w:r>
            <w:r w:rsidR="00BD4DEF">
              <w:t xml:space="preserve"> Community Development Centre, </w:t>
            </w:r>
          </w:p>
          <w:p w:rsidR="00564ED3" w:rsidRDefault="00BD4DEF" w:rsidP="00564ED3">
            <w:pPr>
              <w:pStyle w:val="NoSpacing"/>
            </w:pPr>
            <w:r>
              <w:t xml:space="preserve">Alasdair </w:t>
            </w:r>
            <w:r w:rsidR="00564ED3">
              <w:t>McKinley</w:t>
            </w:r>
            <w:r>
              <w:t xml:space="preserve">, </w:t>
            </w:r>
            <w:r w:rsidR="00564ED3">
              <w:rPr>
                <w:sz w:val="24"/>
                <w:szCs w:val="24"/>
              </w:rPr>
              <w:t>Head of Community Planning and Community Empowerment Unit,</w:t>
            </w:r>
            <w:r w:rsidRPr="00645ECB">
              <w:rPr>
                <w:color w:val="FF0000"/>
              </w:rPr>
              <w:t xml:space="preserve"> </w:t>
            </w:r>
            <w:r>
              <w:t>Scottish Government,</w:t>
            </w:r>
          </w:p>
          <w:p w:rsidR="00BD4DEF" w:rsidRPr="00564ED3" w:rsidRDefault="00BD4DEF" w:rsidP="00564ED3">
            <w:pPr>
              <w:pStyle w:val="NoSpacing"/>
              <w:rPr>
                <w:sz w:val="24"/>
                <w:szCs w:val="24"/>
              </w:rPr>
            </w:pPr>
            <w:r>
              <w:t xml:space="preserve">Development Trust </w:t>
            </w:r>
            <w:r w:rsidR="00564ED3">
              <w:t>Association Scotland</w:t>
            </w:r>
          </w:p>
          <w:p w:rsidR="00BD4DEF" w:rsidRDefault="00BD4DEF" w:rsidP="00BD4DEF">
            <w:pPr>
              <w:pStyle w:val="NoSpacing"/>
            </w:pPr>
            <w:r w:rsidRPr="00727B63">
              <w:t xml:space="preserve">Paul Anderson, Community Outreach </w:t>
            </w:r>
            <w:r w:rsidR="00564ED3" w:rsidRPr="00727B63">
              <w:t>Manager,</w:t>
            </w:r>
            <w:r>
              <w:t xml:space="preserve"> Scottish Parliament </w:t>
            </w:r>
          </w:p>
          <w:p w:rsidR="00BD4DEF" w:rsidRDefault="00BD4DEF" w:rsidP="00BD4DEF">
            <w:pPr>
              <w:pStyle w:val="NoSpacing"/>
              <w:ind w:left="720" w:firstLine="720"/>
            </w:pPr>
          </w:p>
          <w:p w:rsidR="00BD4DEF" w:rsidRDefault="00BD4DEF" w:rsidP="00BD4DEF">
            <w:pPr>
              <w:pStyle w:val="NoSpacing"/>
              <w:ind w:left="720" w:hanging="720"/>
              <w:rPr>
                <w:b/>
              </w:rPr>
            </w:pPr>
            <w:r>
              <w:rPr>
                <w:b/>
              </w:rPr>
              <w:t xml:space="preserve">Fairer </w:t>
            </w:r>
            <w:r w:rsidRPr="00B85CC2">
              <w:rPr>
                <w:b/>
              </w:rPr>
              <w:t>Learning</w:t>
            </w:r>
          </w:p>
          <w:p w:rsidR="00BD4DEF" w:rsidRDefault="00BD4DEF" w:rsidP="00BD4DEF">
            <w:pPr>
              <w:pStyle w:val="NoSpacing"/>
              <w:ind w:left="720" w:hanging="720"/>
            </w:pPr>
            <w:r w:rsidRPr="00B85CC2">
              <w:t>Alan Milliken</w:t>
            </w:r>
            <w:r>
              <w:t>, Association of Directors of Education Scotland</w:t>
            </w:r>
          </w:p>
          <w:p w:rsidR="00BD4DEF" w:rsidRPr="00BC2B42" w:rsidRDefault="00BD4DEF" w:rsidP="00BC2B42">
            <w:pPr>
              <w:pStyle w:val="NoSpacing"/>
              <w:ind w:left="720" w:hanging="720"/>
            </w:pPr>
            <w:r>
              <w:t>Carol Copstick, Education Scotland</w:t>
            </w:r>
          </w:p>
        </w:tc>
      </w:tr>
      <w:tr w:rsidR="00BD4DEF" w:rsidRPr="0055781C" w:rsidTr="00115E28">
        <w:trPr>
          <w:trHeight w:val="351"/>
        </w:trPr>
        <w:tc>
          <w:tcPr>
            <w:tcW w:w="0" w:type="auto"/>
            <w:shd w:val="clear" w:color="auto" w:fill="FFFFFF" w:themeFill="background1"/>
          </w:tcPr>
          <w:p w:rsidR="00BD4DEF" w:rsidRPr="0055781C" w:rsidRDefault="00BD4DEF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1:30</w:t>
            </w:r>
          </w:p>
        </w:tc>
        <w:tc>
          <w:tcPr>
            <w:tcW w:w="8272" w:type="dxa"/>
            <w:shd w:val="clear" w:color="auto" w:fill="FFFFFF" w:themeFill="background1"/>
          </w:tcPr>
          <w:p w:rsidR="00BC2B42" w:rsidRPr="000A7F08" w:rsidRDefault="00BD4DEF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Workshop Session</w:t>
            </w:r>
            <w:r w:rsidR="00BC2B42">
              <w:rPr>
                <w:rFonts w:cs="Calibri"/>
                <w:sz w:val="24"/>
                <w:szCs w:val="24"/>
              </w:rPr>
              <w:t xml:space="preserve"> 1</w:t>
            </w:r>
          </w:p>
        </w:tc>
      </w:tr>
      <w:tr w:rsidR="00BD4DEF" w:rsidRPr="0055781C" w:rsidTr="00BD4DEF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D4DEF" w:rsidRPr="0055781C" w:rsidRDefault="00BD4DEF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3:00</w:t>
            </w:r>
          </w:p>
        </w:tc>
        <w:tc>
          <w:tcPr>
            <w:tcW w:w="8272" w:type="dxa"/>
            <w:shd w:val="clear" w:color="auto" w:fill="FFFFFF" w:themeFill="background1"/>
          </w:tcPr>
          <w:p w:rsidR="00BD4DEF" w:rsidRPr="00BC2B42" w:rsidRDefault="00BD4DEF" w:rsidP="00EF71E2">
            <w:pPr>
              <w:pStyle w:val="NoSpacing"/>
              <w:rPr>
                <w:rFonts w:eastAsia="Calibri" w:cs="Calibri"/>
                <w:b/>
                <w:sz w:val="24"/>
                <w:szCs w:val="24"/>
                <w:lang w:val="en-US"/>
              </w:rPr>
            </w:pPr>
            <w:r w:rsidRPr="00BC2B42">
              <w:rPr>
                <w:rFonts w:cs="Calibri"/>
                <w:b/>
                <w:sz w:val="24"/>
                <w:szCs w:val="24"/>
              </w:rPr>
              <w:t>Break</w:t>
            </w:r>
          </w:p>
        </w:tc>
      </w:tr>
      <w:tr w:rsidR="00BD4DEF" w:rsidRPr="0055781C" w:rsidTr="00BD4DEF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D4DEF" w:rsidRPr="0055781C" w:rsidRDefault="00BD4DEF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3:15</w:t>
            </w:r>
          </w:p>
        </w:tc>
        <w:tc>
          <w:tcPr>
            <w:tcW w:w="8272" w:type="dxa"/>
            <w:shd w:val="clear" w:color="auto" w:fill="FFFFFF" w:themeFill="background1"/>
          </w:tcPr>
          <w:p w:rsidR="00BD4DEF" w:rsidRPr="0055781C" w:rsidRDefault="00BD4DEF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Workshop Session 2</w:t>
            </w:r>
          </w:p>
        </w:tc>
      </w:tr>
      <w:tr w:rsidR="00BD4DEF" w:rsidRPr="0055781C" w:rsidTr="00BD4DEF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D4DEF" w:rsidRDefault="00BD4DEF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4:45</w:t>
            </w:r>
          </w:p>
        </w:tc>
        <w:tc>
          <w:tcPr>
            <w:tcW w:w="8272" w:type="dxa"/>
            <w:shd w:val="clear" w:color="auto" w:fill="FFFFFF" w:themeFill="background1"/>
          </w:tcPr>
          <w:p w:rsidR="00BD4DEF" w:rsidRPr="00BC2B42" w:rsidRDefault="00BC2B42" w:rsidP="00EF71E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BC2B42">
              <w:rPr>
                <w:rFonts w:cs="Calibri"/>
                <w:b/>
                <w:sz w:val="24"/>
                <w:szCs w:val="24"/>
              </w:rPr>
              <w:t xml:space="preserve">Close </w:t>
            </w:r>
            <w:r>
              <w:rPr>
                <w:rFonts w:cs="Calibri"/>
                <w:b/>
                <w:sz w:val="24"/>
                <w:szCs w:val="24"/>
              </w:rPr>
              <w:t>of day 1 – day delegates</w:t>
            </w:r>
          </w:p>
        </w:tc>
      </w:tr>
      <w:tr w:rsidR="00BD4DEF" w:rsidRPr="0055781C" w:rsidTr="00BD4DEF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D4DEF" w:rsidRDefault="00BD4DEF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7:00</w:t>
            </w:r>
          </w:p>
        </w:tc>
        <w:tc>
          <w:tcPr>
            <w:tcW w:w="8272" w:type="dxa"/>
            <w:shd w:val="clear" w:color="auto" w:fill="FFFFFF" w:themeFill="background1"/>
          </w:tcPr>
          <w:p w:rsidR="00BD4DEF" w:rsidRDefault="00BD4DEF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Evening Meal</w:t>
            </w:r>
          </w:p>
        </w:tc>
      </w:tr>
    </w:tbl>
    <w:p w:rsidR="006F51FA" w:rsidRDefault="006F51FA" w:rsidP="00115E28">
      <w:pPr>
        <w:pStyle w:val="NoSpacing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7"/>
        <w:gridCol w:w="8272"/>
      </w:tblGrid>
      <w:tr w:rsidR="00BC2B42" w:rsidRPr="0055781C" w:rsidTr="00115E28">
        <w:trPr>
          <w:trHeight w:val="348"/>
        </w:trPr>
        <w:tc>
          <w:tcPr>
            <w:tcW w:w="0" w:type="auto"/>
            <w:shd w:val="clear" w:color="auto" w:fill="C5E0B3" w:themeFill="accent6" w:themeFillTint="66"/>
          </w:tcPr>
          <w:p w:rsidR="00BC2B42" w:rsidRPr="0011626C" w:rsidRDefault="00BC2B42" w:rsidP="00EF71E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2" w:type="dxa"/>
            <w:shd w:val="clear" w:color="auto" w:fill="C5E0B3" w:themeFill="accent6" w:themeFillTint="66"/>
          </w:tcPr>
          <w:p w:rsidR="00BC2B42" w:rsidRPr="0011626C" w:rsidRDefault="00BC2B42" w:rsidP="00EF71E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Wednesday 19 </w:t>
            </w:r>
            <w:r w:rsidRPr="0055781C">
              <w:rPr>
                <w:b/>
                <w:sz w:val="24"/>
                <w:szCs w:val="24"/>
              </w:rPr>
              <w:t>October</w:t>
            </w:r>
          </w:p>
        </w:tc>
      </w:tr>
      <w:tr w:rsidR="00BC2B42" w:rsidRPr="0055781C" w:rsidTr="00BC2B42">
        <w:trPr>
          <w:trHeight w:val="361"/>
        </w:trPr>
        <w:tc>
          <w:tcPr>
            <w:tcW w:w="0" w:type="auto"/>
            <w:shd w:val="clear" w:color="auto" w:fill="FFFFFF" w:themeFill="background1"/>
          </w:tcPr>
          <w:p w:rsidR="00BC2B42" w:rsidRPr="005E40F7" w:rsidRDefault="00BC2B42" w:rsidP="00EF71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8272" w:type="dxa"/>
            <w:shd w:val="clear" w:color="auto" w:fill="FFFFFF" w:themeFill="background1"/>
          </w:tcPr>
          <w:p w:rsidR="00BC2B42" w:rsidRPr="005E40F7" w:rsidRDefault="00BC2B42" w:rsidP="00EF7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Registration</w:t>
            </w:r>
          </w:p>
        </w:tc>
      </w:tr>
      <w:tr w:rsidR="00BC2B42" w:rsidRPr="0055781C" w:rsidTr="00BC2B42">
        <w:trPr>
          <w:trHeight w:val="618"/>
        </w:trPr>
        <w:tc>
          <w:tcPr>
            <w:tcW w:w="0" w:type="auto"/>
            <w:shd w:val="clear" w:color="auto" w:fill="FFFFFF" w:themeFill="background1"/>
          </w:tcPr>
          <w:p w:rsidR="00BC2B42" w:rsidRPr="005E40F7" w:rsidRDefault="00BC2B42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8272" w:type="dxa"/>
            <w:shd w:val="clear" w:color="auto" w:fill="FFFFFF" w:themeFill="background1"/>
          </w:tcPr>
          <w:p w:rsidR="00BC2B42" w:rsidRPr="005E40F7" w:rsidRDefault="00BC2B42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Welcome and Opening Remarks</w:t>
            </w:r>
          </w:p>
        </w:tc>
      </w:tr>
      <w:tr w:rsidR="00BC2B42" w:rsidRPr="0055781C" w:rsidTr="00BC2B42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C2B42" w:rsidRDefault="00BC2B42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10:10</w:t>
            </w:r>
          </w:p>
        </w:tc>
        <w:tc>
          <w:tcPr>
            <w:tcW w:w="8272" w:type="dxa"/>
            <w:shd w:val="clear" w:color="auto" w:fill="FFFFFF" w:themeFill="background1"/>
          </w:tcPr>
          <w:p w:rsidR="00BC2B42" w:rsidRPr="00115E28" w:rsidRDefault="00BC2B42" w:rsidP="00EF71E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15E28">
              <w:rPr>
                <w:rFonts w:cs="Calibri"/>
                <w:b/>
                <w:sz w:val="24"/>
                <w:szCs w:val="24"/>
              </w:rPr>
              <w:t xml:space="preserve">Opportunities and Challenges facing CLD in </w:t>
            </w:r>
            <w:r w:rsidR="00115E28" w:rsidRPr="00115E28">
              <w:rPr>
                <w:rFonts w:cs="Calibri"/>
                <w:b/>
                <w:sz w:val="24"/>
                <w:szCs w:val="24"/>
              </w:rPr>
              <w:t>maximising their contribution</w:t>
            </w:r>
            <w:r w:rsidRPr="00115E28">
              <w:rPr>
                <w:rFonts w:cs="Calibri"/>
                <w:b/>
                <w:sz w:val="24"/>
                <w:szCs w:val="24"/>
              </w:rPr>
              <w:t xml:space="preserve"> to building a Fairer Scotland</w:t>
            </w:r>
          </w:p>
          <w:p w:rsidR="00BC2B42" w:rsidRPr="0055781C" w:rsidRDefault="00BC2B42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discussions from workshops on day 1</w:t>
            </w:r>
          </w:p>
        </w:tc>
      </w:tr>
      <w:tr w:rsidR="00BC2B42" w:rsidRPr="005E40F7" w:rsidTr="00115E28">
        <w:trPr>
          <w:trHeight w:val="5180"/>
        </w:trPr>
        <w:tc>
          <w:tcPr>
            <w:tcW w:w="0" w:type="auto"/>
            <w:shd w:val="clear" w:color="auto" w:fill="FFFFFF" w:themeFill="background1"/>
          </w:tcPr>
          <w:p w:rsidR="00BC2B42" w:rsidRPr="0055781C" w:rsidRDefault="00BC2B42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10:40</w:t>
            </w:r>
          </w:p>
        </w:tc>
        <w:tc>
          <w:tcPr>
            <w:tcW w:w="8272" w:type="dxa"/>
            <w:shd w:val="clear" w:color="auto" w:fill="FFFFFF" w:themeFill="background1"/>
          </w:tcPr>
          <w:p w:rsidR="00115E28" w:rsidRDefault="00115E28" w:rsidP="00115E28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Fairly Included –t</w:t>
            </w:r>
            <w:r w:rsidR="00BC2B42">
              <w:rPr>
                <w:rFonts w:eastAsia="Calibri" w:cs="Calibri"/>
                <w:sz w:val="24"/>
                <w:szCs w:val="24"/>
                <w:lang w:val="en-US"/>
              </w:rPr>
              <w:t>he role of CLD in promoting inclusion and equality</w:t>
            </w:r>
          </w:p>
          <w:p w:rsidR="00115E28" w:rsidRPr="00115E28" w:rsidRDefault="00115E28" w:rsidP="00115E28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</w:p>
          <w:p w:rsidR="00BC2B42" w:rsidRDefault="00BC2B42" w:rsidP="00BC2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rolling programme of round-table discussions giving participants the opportunity to consider the role of CLD in addressing issues of equality and inclusion. Each discussion will last approximately 20 minutes.</w:t>
            </w:r>
          </w:p>
          <w:p w:rsidR="00BC2B42" w:rsidRDefault="00BC2B42" w:rsidP="00BC2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Addressing inequality and promoting inclusion for:</w:t>
            </w:r>
          </w:p>
          <w:p w:rsidR="00BC2B42" w:rsidRDefault="00BC2B42" w:rsidP="00BC2B4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LGBTi community – lead by LGBT </w:t>
            </w:r>
            <w:r w:rsidR="00564ED3">
              <w:rPr>
                <w:sz w:val="24"/>
                <w:szCs w:val="24"/>
              </w:rPr>
              <w:t>Youth Scotland</w:t>
            </w:r>
          </w:p>
          <w:p w:rsidR="00BC2B42" w:rsidRDefault="00BC2B42" w:rsidP="00BC2B4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Refugees and </w:t>
            </w:r>
            <w:r w:rsidR="008A288F">
              <w:rPr>
                <w:sz w:val="24"/>
                <w:szCs w:val="24"/>
              </w:rPr>
              <w:t>asylum</w:t>
            </w:r>
            <w:r>
              <w:rPr>
                <w:sz w:val="24"/>
                <w:szCs w:val="24"/>
              </w:rPr>
              <w:t xml:space="preserve"> seekers – led by Scottish Refugee Council</w:t>
            </w:r>
          </w:p>
          <w:p w:rsidR="00BC2B42" w:rsidRDefault="00BC2B42" w:rsidP="00BC2B4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Older people – led by Age Scotland</w:t>
            </w:r>
          </w:p>
          <w:p w:rsidR="00BC2B42" w:rsidRDefault="00BC2B42" w:rsidP="00BC2B4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with disabilities – Glasgow Disability Alliance</w:t>
            </w:r>
          </w:p>
          <w:p w:rsidR="00BC2B42" w:rsidRDefault="00BC2B42" w:rsidP="00BC2B4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Women and girls – led by Mentors in Violence Prevention Programme</w:t>
            </w:r>
          </w:p>
          <w:p w:rsidR="00115E28" w:rsidRDefault="00BC2B42" w:rsidP="00BC2B4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of all faiths – led by representative of the PREVENT</w:t>
            </w:r>
          </w:p>
          <w:p w:rsidR="00BC2B42" w:rsidRPr="00115E28" w:rsidRDefault="00BC2B42" w:rsidP="00BC2B4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459" w:hanging="425"/>
              <w:rPr>
                <w:sz w:val="24"/>
                <w:szCs w:val="24"/>
              </w:rPr>
            </w:pPr>
            <w:r w:rsidRPr="00115E28">
              <w:rPr>
                <w:sz w:val="24"/>
                <w:szCs w:val="24"/>
              </w:rPr>
              <w:t>All – through policy development and implementation – led by Scottish Government</w:t>
            </w:r>
            <w:r w:rsidR="00115E28">
              <w:rPr>
                <w:sz w:val="24"/>
                <w:szCs w:val="24"/>
              </w:rPr>
              <w:t>.</w:t>
            </w:r>
          </w:p>
        </w:tc>
      </w:tr>
      <w:tr w:rsidR="00BC2B42" w:rsidRPr="0055781C" w:rsidTr="00BC2B42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C2B42" w:rsidRPr="00115E28" w:rsidRDefault="00BC2B42" w:rsidP="00EF71E2">
            <w:pPr>
              <w:pStyle w:val="NoSpacing"/>
              <w:rPr>
                <w:rFonts w:eastAsia="Calibri" w:cs="Calibri"/>
                <w:b/>
                <w:sz w:val="24"/>
                <w:szCs w:val="24"/>
                <w:lang w:val="en-US"/>
              </w:rPr>
            </w:pPr>
            <w:r w:rsidRPr="00115E28">
              <w:rPr>
                <w:rFonts w:eastAsia="Calibri" w:cs="Calibri"/>
                <w:b/>
                <w:sz w:val="24"/>
                <w:szCs w:val="24"/>
                <w:lang w:val="en-US"/>
              </w:rPr>
              <w:t>1:00</w:t>
            </w:r>
          </w:p>
        </w:tc>
        <w:tc>
          <w:tcPr>
            <w:tcW w:w="8272" w:type="dxa"/>
            <w:shd w:val="clear" w:color="auto" w:fill="FFFFFF" w:themeFill="background1"/>
          </w:tcPr>
          <w:p w:rsidR="00BC2B42" w:rsidRPr="00115E28" w:rsidRDefault="00BC2B42" w:rsidP="00EF71E2">
            <w:pPr>
              <w:pStyle w:val="NoSpacing"/>
              <w:rPr>
                <w:rFonts w:eastAsia="Calibri" w:cs="Calibri"/>
                <w:b/>
                <w:sz w:val="24"/>
                <w:szCs w:val="24"/>
                <w:lang w:val="en-US"/>
              </w:rPr>
            </w:pPr>
            <w:r w:rsidRPr="00115E28">
              <w:rPr>
                <w:rFonts w:cs="Calibri"/>
                <w:b/>
                <w:sz w:val="24"/>
                <w:szCs w:val="24"/>
              </w:rPr>
              <w:t>Lunch</w:t>
            </w:r>
          </w:p>
        </w:tc>
      </w:tr>
      <w:tr w:rsidR="00BC2B42" w:rsidRPr="0055781C" w:rsidTr="00BC2B42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C2B42" w:rsidRDefault="00BC2B42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8272" w:type="dxa"/>
            <w:shd w:val="clear" w:color="auto" w:fill="FFFFFF" w:themeFill="background1"/>
          </w:tcPr>
          <w:p w:rsidR="00BC2B42" w:rsidRPr="00115E28" w:rsidRDefault="00BC2B42" w:rsidP="00EF71E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115E28">
              <w:rPr>
                <w:rFonts w:eastAsia="Calibri" w:cs="Calibri"/>
                <w:b/>
                <w:sz w:val="24"/>
                <w:szCs w:val="24"/>
                <w:lang w:val="en-US"/>
              </w:rPr>
              <w:t>Supporting the field to create a Fairer Scotland; a series of fringe events</w:t>
            </w:r>
          </w:p>
        </w:tc>
      </w:tr>
      <w:tr w:rsidR="00BC2B42" w:rsidRPr="0055781C" w:rsidTr="00115E28">
        <w:trPr>
          <w:trHeight w:val="558"/>
        </w:trPr>
        <w:tc>
          <w:tcPr>
            <w:tcW w:w="0" w:type="auto"/>
            <w:shd w:val="clear" w:color="auto" w:fill="FFFFFF" w:themeFill="background1"/>
          </w:tcPr>
          <w:p w:rsidR="00BC2B42" w:rsidRPr="0055781C" w:rsidRDefault="00BC2B42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2:00</w:t>
            </w:r>
          </w:p>
        </w:tc>
        <w:tc>
          <w:tcPr>
            <w:tcW w:w="8272" w:type="dxa"/>
            <w:shd w:val="clear" w:color="auto" w:fill="FFFFFF" w:themeFill="background1"/>
          </w:tcPr>
          <w:p w:rsidR="00BC2B42" w:rsidRDefault="00BC2B42" w:rsidP="00EF71E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Self-evaluation and Inspection : led by Education Scotland</w:t>
            </w:r>
          </w:p>
          <w:p w:rsidR="00115E28" w:rsidRDefault="00BC2B42" w:rsidP="00BC2B42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lang w:val="en-US"/>
              </w:rPr>
            </w:pPr>
            <w:r w:rsidRPr="003C0A18">
              <w:rPr>
                <w:lang w:val="en-US"/>
              </w:rPr>
              <w:t>messages and le</w:t>
            </w:r>
            <w:r>
              <w:rPr>
                <w:lang w:val="en-US"/>
              </w:rPr>
              <w:t>arning from recent inspections</w:t>
            </w:r>
          </w:p>
          <w:p w:rsidR="00BC2B42" w:rsidRPr="00115E28" w:rsidRDefault="00BC2B42" w:rsidP="00BC2B42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lang w:val="en-US"/>
              </w:rPr>
            </w:pPr>
            <w:r w:rsidRPr="00115E28">
              <w:rPr>
                <w:lang w:val="en-US"/>
              </w:rPr>
              <w:t>how can we use the new framework to promote equality and inclusion?</w:t>
            </w:r>
          </w:p>
        </w:tc>
      </w:tr>
      <w:tr w:rsidR="00BC2B42" w:rsidRPr="0055781C" w:rsidTr="00115E28">
        <w:trPr>
          <w:trHeight w:val="693"/>
        </w:trPr>
        <w:tc>
          <w:tcPr>
            <w:tcW w:w="0" w:type="auto"/>
            <w:shd w:val="clear" w:color="auto" w:fill="FFFFFF" w:themeFill="background1"/>
          </w:tcPr>
          <w:p w:rsidR="00BC2B42" w:rsidRPr="0055781C" w:rsidRDefault="00BC2B42" w:rsidP="00EF71E2">
            <w:pPr>
              <w:pStyle w:val="NoSpacing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2:30</w:t>
            </w:r>
          </w:p>
        </w:tc>
        <w:tc>
          <w:tcPr>
            <w:tcW w:w="8272" w:type="dxa"/>
            <w:shd w:val="clear" w:color="auto" w:fill="FFFFFF" w:themeFill="background1"/>
          </w:tcPr>
          <w:p w:rsidR="00BC2B42" w:rsidRPr="003547D8" w:rsidRDefault="00BC2B42" w:rsidP="00EF71E2">
            <w:pPr>
              <w:rPr>
                <w:lang w:val="en-US"/>
              </w:rPr>
            </w:pPr>
            <w:r>
              <w:rPr>
                <w:lang w:val="en-US"/>
              </w:rPr>
              <w:t>Professional Development Op</w:t>
            </w:r>
            <w:r w:rsidR="00115E28">
              <w:rPr>
                <w:lang w:val="en-US"/>
              </w:rPr>
              <w:t>portunities aimed at Equalities: led by</w:t>
            </w:r>
            <w:r>
              <w:rPr>
                <w:lang w:val="en-US"/>
              </w:rPr>
              <w:t xml:space="preserve"> CLD Standards Council for Scotland</w:t>
            </w:r>
          </w:p>
        </w:tc>
      </w:tr>
      <w:tr w:rsidR="00BC2B42" w:rsidRPr="0055781C" w:rsidTr="00BC2B42">
        <w:trPr>
          <w:trHeight w:val="541"/>
        </w:trPr>
        <w:tc>
          <w:tcPr>
            <w:tcW w:w="0" w:type="auto"/>
            <w:shd w:val="clear" w:color="auto" w:fill="FFFFFF" w:themeFill="background1"/>
          </w:tcPr>
          <w:p w:rsidR="00BC2B42" w:rsidRPr="0055781C" w:rsidRDefault="00BC2B42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3:00</w:t>
            </w:r>
          </w:p>
        </w:tc>
        <w:tc>
          <w:tcPr>
            <w:tcW w:w="8272" w:type="dxa"/>
            <w:shd w:val="clear" w:color="auto" w:fill="FFFFFF" w:themeFill="background1"/>
          </w:tcPr>
          <w:p w:rsidR="00BC2B42" w:rsidRDefault="00564ED3" w:rsidP="00BC2B42">
            <w:pPr>
              <w:pStyle w:val="ListParagraph"/>
              <w:ind w:left="375"/>
              <w:rPr>
                <w:lang w:val="en-US"/>
              </w:rPr>
            </w:pPr>
            <w:r w:rsidRPr="003C0A18">
              <w:rPr>
                <w:lang w:val="en-US"/>
              </w:rPr>
              <w:t>Maximi</w:t>
            </w:r>
            <w:r>
              <w:rPr>
                <w:lang w:val="en-US"/>
              </w:rPr>
              <w:t>s</w:t>
            </w:r>
            <w:r w:rsidRPr="003C0A18">
              <w:rPr>
                <w:lang w:val="en-US"/>
              </w:rPr>
              <w:t>ing</w:t>
            </w:r>
            <w:r w:rsidR="00BC2B42" w:rsidRPr="003C0A18">
              <w:rPr>
                <w:lang w:val="en-US"/>
              </w:rPr>
              <w:t xml:space="preserve"> the impact of CLD 3 year plans on equality and inclusion; led by Education Scotland</w:t>
            </w:r>
          </w:p>
          <w:p w:rsidR="00115E28" w:rsidRDefault="00BC2B42" w:rsidP="00115E28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What the 3 year plans say about inequality</w:t>
            </w:r>
          </w:p>
          <w:p w:rsidR="00115E28" w:rsidRPr="00564ED3" w:rsidRDefault="00BC2B42" w:rsidP="00564ED3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115E28">
              <w:rPr>
                <w:lang w:val="en-US"/>
              </w:rPr>
              <w:t>Lessons from the Aspect Review of 3 year plans</w:t>
            </w:r>
          </w:p>
        </w:tc>
      </w:tr>
      <w:tr w:rsidR="00BC2B42" w:rsidRPr="0055781C" w:rsidTr="00BC2B42">
        <w:trPr>
          <w:trHeight w:val="397"/>
        </w:trPr>
        <w:tc>
          <w:tcPr>
            <w:tcW w:w="0" w:type="auto"/>
            <w:shd w:val="clear" w:color="auto" w:fill="FFFFFF" w:themeFill="background1"/>
          </w:tcPr>
          <w:p w:rsidR="00BC2B42" w:rsidRPr="0055781C" w:rsidRDefault="00BC2B42" w:rsidP="00EF71E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3:30</w:t>
            </w:r>
          </w:p>
        </w:tc>
        <w:tc>
          <w:tcPr>
            <w:tcW w:w="8272" w:type="dxa"/>
            <w:shd w:val="clear" w:color="auto" w:fill="FFFFFF" w:themeFill="background1"/>
          </w:tcPr>
          <w:p w:rsidR="00BC2B42" w:rsidRPr="00115E28" w:rsidRDefault="00BC2B42" w:rsidP="00EF71E2">
            <w:pPr>
              <w:pStyle w:val="NoSpacing"/>
              <w:rPr>
                <w:rFonts w:eastAsia="Calibri" w:cs="Calibri"/>
                <w:b/>
                <w:sz w:val="24"/>
                <w:szCs w:val="24"/>
                <w:lang w:val="en-US"/>
              </w:rPr>
            </w:pPr>
            <w:r w:rsidRPr="00115E28">
              <w:rPr>
                <w:rFonts w:cs="Calibri"/>
                <w:b/>
                <w:sz w:val="24"/>
                <w:szCs w:val="24"/>
              </w:rPr>
              <w:t>Finish</w:t>
            </w:r>
          </w:p>
        </w:tc>
      </w:tr>
    </w:tbl>
    <w:p w:rsidR="006F51FA" w:rsidRDefault="006F51FA" w:rsidP="006F51FA"/>
    <w:p w:rsidR="00A3086B" w:rsidRDefault="00A3086B" w:rsidP="00A3086B">
      <w:pPr>
        <w:rPr>
          <w:sz w:val="21"/>
          <w:szCs w:val="21"/>
          <w:lang w:val="en-US"/>
        </w:rPr>
      </w:pPr>
    </w:p>
    <w:sectPr w:rsidR="00A3086B" w:rsidSect="00115E2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DB5"/>
    <w:multiLevelType w:val="hybridMultilevel"/>
    <w:tmpl w:val="0E52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793E"/>
    <w:multiLevelType w:val="hybridMultilevel"/>
    <w:tmpl w:val="420A0848"/>
    <w:lvl w:ilvl="0" w:tplc="1D3CC70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70B9"/>
    <w:multiLevelType w:val="hybridMultilevel"/>
    <w:tmpl w:val="546404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0B623B"/>
    <w:multiLevelType w:val="hybridMultilevel"/>
    <w:tmpl w:val="732A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06ADE"/>
    <w:multiLevelType w:val="hybridMultilevel"/>
    <w:tmpl w:val="2EDE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237E2"/>
    <w:multiLevelType w:val="hybridMultilevel"/>
    <w:tmpl w:val="50C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F6F1B"/>
    <w:multiLevelType w:val="hybridMultilevel"/>
    <w:tmpl w:val="50EE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12D18"/>
    <w:multiLevelType w:val="multilevel"/>
    <w:tmpl w:val="7D76A70E"/>
    <w:lvl w:ilvl="0">
      <w:start w:val="3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7472B5E"/>
    <w:multiLevelType w:val="hybridMultilevel"/>
    <w:tmpl w:val="D1A07E2A"/>
    <w:lvl w:ilvl="0" w:tplc="1D3CC70A">
      <w:numFmt w:val="bullet"/>
      <w:lvlText w:val="–"/>
      <w:lvlJc w:val="left"/>
      <w:pPr>
        <w:ind w:left="181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56710B3"/>
    <w:multiLevelType w:val="hybridMultilevel"/>
    <w:tmpl w:val="C97C1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8C075A"/>
    <w:multiLevelType w:val="hybridMultilevel"/>
    <w:tmpl w:val="81867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247DB"/>
    <w:multiLevelType w:val="hybridMultilevel"/>
    <w:tmpl w:val="03460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53F19"/>
    <w:multiLevelType w:val="hybridMultilevel"/>
    <w:tmpl w:val="6E0EA038"/>
    <w:lvl w:ilvl="0" w:tplc="1D3CC70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A2BBC"/>
    <w:multiLevelType w:val="hybridMultilevel"/>
    <w:tmpl w:val="ED9064EA"/>
    <w:lvl w:ilvl="0" w:tplc="1D3CC70A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980695"/>
    <w:multiLevelType w:val="hybridMultilevel"/>
    <w:tmpl w:val="85E05DA2"/>
    <w:lvl w:ilvl="0" w:tplc="1D3CC70A">
      <w:numFmt w:val="bullet"/>
      <w:lvlText w:val="–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7"/>
  </w:num>
  <w:num w:numId="8">
    <w:abstractNumId w:val="14"/>
  </w:num>
  <w:num w:numId="9">
    <w:abstractNumId w:val="8"/>
  </w:num>
  <w:num w:numId="10">
    <w:abstractNumId w:val="1"/>
  </w:num>
  <w:num w:numId="11">
    <w:abstractNumId w:val="13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60"/>
    <w:rsid w:val="000645DA"/>
    <w:rsid w:val="00093217"/>
    <w:rsid w:val="00115E28"/>
    <w:rsid w:val="00174B60"/>
    <w:rsid w:val="001F1EA9"/>
    <w:rsid w:val="00247C8D"/>
    <w:rsid w:val="003C0A18"/>
    <w:rsid w:val="0048157C"/>
    <w:rsid w:val="004F5B64"/>
    <w:rsid w:val="0053086D"/>
    <w:rsid w:val="005573F5"/>
    <w:rsid w:val="00564ED3"/>
    <w:rsid w:val="00645ECB"/>
    <w:rsid w:val="006821F5"/>
    <w:rsid w:val="006B2C33"/>
    <w:rsid w:val="006F51FA"/>
    <w:rsid w:val="00762035"/>
    <w:rsid w:val="00795096"/>
    <w:rsid w:val="00887E8A"/>
    <w:rsid w:val="008A288F"/>
    <w:rsid w:val="009D6357"/>
    <w:rsid w:val="009F1B3F"/>
    <w:rsid w:val="009F3CA8"/>
    <w:rsid w:val="00A225C1"/>
    <w:rsid w:val="00A3086B"/>
    <w:rsid w:val="00A62BFE"/>
    <w:rsid w:val="00B70E4B"/>
    <w:rsid w:val="00B84651"/>
    <w:rsid w:val="00BC2B42"/>
    <w:rsid w:val="00BD4DEF"/>
    <w:rsid w:val="00C97198"/>
    <w:rsid w:val="00CC3319"/>
    <w:rsid w:val="00D26FB2"/>
    <w:rsid w:val="00DF4EFE"/>
    <w:rsid w:val="00E07A30"/>
    <w:rsid w:val="00F146AC"/>
    <w:rsid w:val="00F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E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3C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86B"/>
    <w:rPr>
      <w:color w:val="954F72" w:themeColor="followedHyperlink"/>
      <w:u w:val="single"/>
    </w:rPr>
  </w:style>
  <w:style w:type="paragraph" w:styleId="NoSpacing">
    <w:name w:val="No Spacing"/>
    <w:aliases w:val="Normal Spacing"/>
    <w:uiPriority w:val="1"/>
    <w:qFormat/>
    <w:rsid w:val="00682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E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3C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86B"/>
    <w:rPr>
      <w:color w:val="954F72" w:themeColor="followedHyperlink"/>
      <w:u w:val="single"/>
    </w:rPr>
  </w:style>
  <w:style w:type="paragraph" w:styleId="NoSpacing">
    <w:name w:val="No Spacing"/>
    <w:aliases w:val="Normal Spacing"/>
    <w:uiPriority w:val="1"/>
    <w:qFormat/>
    <w:rsid w:val="00682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hlinkscotland.org/Bookings/BookingForm.asp?ID=245&amp;MainID=&amp;UserID=&amp;ItemID=112386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gibson</dc:creator>
  <cp:lastModifiedBy>z207589</cp:lastModifiedBy>
  <cp:revision>2</cp:revision>
  <dcterms:created xsi:type="dcterms:W3CDTF">2016-10-06T08:56:00Z</dcterms:created>
  <dcterms:modified xsi:type="dcterms:W3CDTF">2016-10-06T08:56:00Z</dcterms:modified>
</cp:coreProperties>
</file>